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7071BDEF" w:rsidR="006472FD" w:rsidRPr="00A2740E" w:rsidRDefault="006472FD" w:rsidP="00FD187F">
      <w:pPr>
        <w:tabs>
          <w:tab w:val="right" w:pos="9630"/>
        </w:tabs>
        <w:rPr>
          <w:b/>
        </w:rPr>
      </w:pPr>
      <w:r w:rsidRPr="00A2740E">
        <w:rPr>
          <w:b/>
        </w:rPr>
        <w:t xml:space="preserve">3GPP TSG RAN WG1 </w:t>
      </w:r>
      <w:r w:rsidR="00FA6CC7" w:rsidRPr="00A2740E">
        <w:rPr>
          <w:b/>
        </w:rPr>
        <w:t>#92</w:t>
      </w:r>
      <w:r w:rsidRPr="00A2740E">
        <w:rPr>
          <w:b/>
        </w:rPr>
        <w:tab/>
        <w:t>R1-1</w:t>
      </w:r>
      <w:r w:rsidR="00554813" w:rsidRPr="00A2740E">
        <w:rPr>
          <w:b/>
        </w:rPr>
        <w:t>80</w:t>
      </w:r>
      <w:r w:rsidR="00A44FEB">
        <w:rPr>
          <w:b/>
        </w:rPr>
        <w:t>3336</w:t>
      </w:r>
    </w:p>
    <w:p w14:paraId="467EED87" w14:textId="5E6BFBA4" w:rsidR="006472FD" w:rsidRPr="00A2740E" w:rsidRDefault="00FA6CC7" w:rsidP="00EB77D5">
      <w:pPr>
        <w:rPr>
          <w:b/>
        </w:rPr>
      </w:pPr>
      <w:r w:rsidRPr="00A2740E">
        <w:rPr>
          <w:b/>
        </w:rPr>
        <w:t>Feb</w:t>
      </w:r>
      <w:r w:rsidR="002C5734" w:rsidRPr="00A2740E">
        <w:rPr>
          <w:b/>
        </w:rPr>
        <w:t xml:space="preserve"> 26</w:t>
      </w:r>
      <w:r w:rsidR="002C5734" w:rsidRPr="00A2740E">
        <w:rPr>
          <w:b/>
          <w:vertAlign w:val="superscript"/>
        </w:rPr>
        <w:t>th</w:t>
      </w:r>
      <w:r w:rsidRPr="00A2740E">
        <w:rPr>
          <w:b/>
        </w:rPr>
        <w:t xml:space="preserve"> – March 2</w:t>
      </w:r>
      <w:r w:rsidRPr="00A2740E">
        <w:rPr>
          <w:b/>
          <w:vertAlign w:val="superscript"/>
        </w:rPr>
        <w:t>nd</w:t>
      </w:r>
      <w:r w:rsidRPr="00A2740E">
        <w:rPr>
          <w:b/>
        </w:rPr>
        <w:t>,</w:t>
      </w:r>
      <w:r w:rsidR="006472FD" w:rsidRPr="00A2740E">
        <w:rPr>
          <w:b/>
        </w:rPr>
        <w:t xml:space="preserve"> 201</w:t>
      </w:r>
      <w:r w:rsidR="002C5734" w:rsidRPr="00A2740E">
        <w:rPr>
          <w:b/>
        </w:rPr>
        <w:t>8</w:t>
      </w:r>
    </w:p>
    <w:p w14:paraId="33C3D330" w14:textId="5C8C20AB" w:rsidR="006472FD" w:rsidRPr="00A2740E" w:rsidRDefault="00FA6CC7" w:rsidP="00FD187F">
      <w:pPr>
        <w:rPr>
          <w:b/>
        </w:rPr>
      </w:pPr>
      <w:r w:rsidRPr="00A2740E">
        <w:rPr>
          <w:b/>
        </w:rPr>
        <w:t>Athens, Greece</w:t>
      </w:r>
    </w:p>
    <w:p w14:paraId="49F194EA" w14:textId="6EAE6775" w:rsidR="00E725B6" w:rsidRPr="00E624D8" w:rsidRDefault="00E725B6" w:rsidP="00EB77D5">
      <w:pPr>
        <w:pStyle w:val="Title"/>
        <w:rPr>
          <w:lang w:eastAsia="ja-JP"/>
        </w:rPr>
      </w:pPr>
      <w:r w:rsidRPr="00E624D8">
        <w:tab/>
      </w:r>
    </w:p>
    <w:p w14:paraId="21FD1CD3" w14:textId="499894D2" w:rsidR="00070460" w:rsidRDefault="00E725B6" w:rsidP="00A2740E">
      <w:pPr>
        <w:tabs>
          <w:tab w:val="left" w:pos="1620"/>
        </w:tabs>
      </w:pPr>
      <w:r w:rsidRPr="00A2740E">
        <w:rPr>
          <w:b/>
        </w:rPr>
        <w:t>Agenda item:</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A2740E">
      <w:pPr>
        <w:tabs>
          <w:tab w:val="left" w:pos="1620"/>
        </w:tabs>
      </w:pPr>
      <w:r w:rsidRPr="00CC27F5">
        <w:rPr>
          <w:b/>
        </w:rPr>
        <w:t xml:space="preserve">Source: </w:t>
      </w:r>
      <w:r w:rsidRPr="00CC27F5">
        <w:rPr>
          <w:b/>
        </w:rPr>
        <w:tab/>
      </w:r>
      <w:r w:rsidRPr="00CC27F5">
        <w:t xml:space="preserve">Qualcomm </w:t>
      </w:r>
      <w:r w:rsidR="00802AC5">
        <w:t>Inc</w:t>
      </w:r>
      <w:r w:rsidR="00821167">
        <w:t>orporated</w:t>
      </w:r>
    </w:p>
    <w:p w14:paraId="0963A3D3" w14:textId="3A74AA86" w:rsidR="0068226B" w:rsidRPr="0044166C" w:rsidRDefault="0068226B" w:rsidP="00A2740E">
      <w:pPr>
        <w:tabs>
          <w:tab w:val="left" w:pos="1620"/>
        </w:tabs>
      </w:pPr>
      <w:r w:rsidRPr="00CC27F5">
        <w:rPr>
          <w:b/>
        </w:rPr>
        <w:t>Title:</w:t>
      </w:r>
      <w:r w:rsidRPr="00CC27F5">
        <w:t xml:space="preserve"> </w:t>
      </w:r>
      <w:r w:rsidR="00650CAB">
        <w:rPr>
          <w:sz w:val="22"/>
        </w:rPr>
        <w:tab/>
      </w:r>
      <w:r w:rsidR="00061F06">
        <w:t>Offline discussion s</w:t>
      </w:r>
      <w:r w:rsidR="00571FA5">
        <w:t>ummary</w:t>
      </w:r>
      <w:r w:rsidR="007A635C">
        <w:t xml:space="preserve"> on r</w:t>
      </w:r>
      <w:r w:rsidR="00FA6CC7">
        <w:t>emaining issues on GC-PDCCH carrying SFI</w:t>
      </w:r>
    </w:p>
    <w:p w14:paraId="4E9088AE" w14:textId="77777777" w:rsidR="0068226B" w:rsidRPr="00CC27F5" w:rsidRDefault="0068226B" w:rsidP="00A2740E">
      <w:pPr>
        <w:tabs>
          <w:tab w:val="left" w:pos="1620"/>
        </w:tabs>
      </w:pPr>
      <w:r w:rsidRPr="00CC27F5">
        <w:rPr>
          <w:b/>
        </w:rPr>
        <w:t>Document for:</w:t>
      </w:r>
      <w:r w:rsidRPr="00CC27F5">
        <w:tab/>
      </w:r>
      <w:bookmarkStart w:id="1" w:name="DocumentFor"/>
      <w:bookmarkEnd w:id="1"/>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6B9F8602" w:rsidR="00070460" w:rsidRDefault="00070460" w:rsidP="00EB77D5">
      <w:pPr>
        <w:rPr>
          <w:lang w:val="en-GB"/>
        </w:rPr>
      </w:pPr>
      <w:r>
        <w:rPr>
          <w:lang w:val="en-GB"/>
        </w:rPr>
        <w:t xml:space="preserve">This </w:t>
      </w:r>
      <w:r w:rsidR="00DD699F">
        <w:rPr>
          <w:lang w:val="en-GB"/>
        </w:rPr>
        <w:t xml:space="preserve">paper </w:t>
      </w:r>
      <w:r w:rsidR="007A635C">
        <w:rPr>
          <w:lang w:val="en-GB"/>
        </w:rPr>
        <w:t xml:space="preserve">is the summary </w:t>
      </w:r>
      <w:r w:rsidR="00061F06">
        <w:rPr>
          <w:lang w:val="en-GB"/>
        </w:rPr>
        <w:t xml:space="preserve">for the offline discussion </w:t>
      </w:r>
      <w:r w:rsidR="007A635C">
        <w:rPr>
          <w:lang w:val="en-GB"/>
        </w:rPr>
        <w:t xml:space="preserve">on </w:t>
      </w:r>
      <w:r w:rsidR="00FA6CC7">
        <w:rPr>
          <w:lang w:val="en-GB"/>
        </w:rPr>
        <w:t xml:space="preserve">remaining issues on </w:t>
      </w:r>
      <w:r>
        <w:rPr>
          <w:lang w:val="en-GB"/>
        </w:rPr>
        <w:t>GC-PDCCH carrying SFI.</w:t>
      </w:r>
    </w:p>
    <w:p w14:paraId="77B59291" w14:textId="5031B419" w:rsidR="00DD699F" w:rsidRDefault="00DD699F" w:rsidP="00DD699F">
      <w:pPr>
        <w:pStyle w:val="Heading1"/>
      </w:pPr>
      <w:r>
        <w:t>2</w:t>
      </w:r>
      <w:r>
        <w:tab/>
      </w:r>
      <w:r w:rsidR="00061F06">
        <w:t>A</w:t>
      </w:r>
      <w:r>
        <w:t>greements</w:t>
      </w:r>
      <w:r w:rsidR="00061F06">
        <w:t xml:space="preserve"> reached this meeting</w:t>
      </w:r>
    </w:p>
    <w:p w14:paraId="1DD706D1" w14:textId="77777777" w:rsidR="00061F06" w:rsidRPr="00061F06" w:rsidRDefault="00061F06" w:rsidP="00061F06">
      <w:pPr>
        <w:rPr>
          <w:lang w:val="en-GB" w:eastAsia="en-US"/>
        </w:rPr>
      </w:pPr>
    </w:p>
    <w:p w14:paraId="3B8BF032" w14:textId="65F0EA40" w:rsidR="00D155DE" w:rsidRDefault="00D155DE" w:rsidP="00D155DE">
      <w:pPr>
        <w:pStyle w:val="Heading1"/>
      </w:pPr>
      <w:r>
        <w:t>3</w:t>
      </w:r>
      <w:r>
        <w:tab/>
      </w:r>
      <w:r w:rsidR="00061F06">
        <w:t>Discussion points</w:t>
      </w:r>
    </w:p>
    <w:p w14:paraId="2198EF2C" w14:textId="4EAADC0D" w:rsidR="000B5CAE" w:rsidRDefault="000B5CAE" w:rsidP="000B5CAE">
      <w:pPr>
        <w:pStyle w:val="Heading2"/>
      </w:pPr>
      <w:r>
        <w:t xml:space="preserve">3.1 </w:t>
      </w:r>
      <w:r>
        <w:tab/>
        <w:t>On search space configuration of GC-PDCCH carrying SFI</w:t>
      </w:r>
    </w:p>
    <w:p w14:paraId="53CDE95B" w14:textId="13D4A867" w:rsidR="00A2740E" w:rsidRDefault="00A2740E" w:rsidP="000B5CAE">
      <w:pPr>
        <w:rPr>
          <w:lang w:val="en-GB" w:eastAsia="en-US"/>
        </w:rPr>
      </w:pPr>
      <w:r>
        <w:rPr>
          <w:lang w:val="en-GB" w:eastAsia="en-US"/>
        </w:rPr>
        <w:t xml:space="preserve">In RAN1 NRAH #1801, it was agreed to use the same configuration for a common search space for the SFI search space configuration. When configuring the GC-PDCCH monitoring for SFI, </w:t>
      </w:r>
      <w:r w:rsidR="00AA7E3F">
        <w:rPr>
          <w:lang w:val="en-GB" w:eastAsia="en-US"/>
        </w:rPr>
        <w:t>a</w:t>
      </w:r>
      <w:r>
        <w:rPr>
          <w:lang w:val="en-GB" w:eastAsia="en-US"/>
        </w:rPr>
        <w:t xml:space="preserve"> common search space (separately configured) ID will be provided, in additional to the other SFI specific configurations, including the length of the GC-PDCCH, SFI-RNTI, aggregation level, and number of decodings (1 or 2). </w:t>
      </w:r>
    </w:p>
    <w:p w14:paraId="2DF99329" w14:textId="4BEE82F3" w:rsidR="00A2740E" w:rsidRDefault="00A2740E" w:rsidP="000B5CAE">
      <w:pPr>
        <w:rPr>
          <w:lang w:val="en-GB" w:eastAsia="en-US"/>
        </w:rPr>
      </w:pPr>
    </w:p>
    <w:p w14:paraId="18228E3B" w14:textId="6A7CF2CC" w:rsidR="00A2740E" w:rsidRDefault="00A2740E" w:rsidP="000B5CAE">
      <w:pPr>
        <w:rPr>
          <w:lang w:val="en-GB" w:eastAsia="en-US"/>
        </w:rPr>
      </w:pPr>
      <w:r>
        <w:rPr>
          <w:lang w:val="en-GB" w:eastAsia="en-US"/>
        </w:rPr>
        <w:t xml:space="preserve">On the other hand, for the CSS the GC-PDCCH carrying SFI is associated with, there can be more decoding candidates with different aggregation levels, and even for the same aggregation level as the SFI, there can be more decoding candidates configured. </w:t>
      </w:r>
      <w:r w:rsidR="00AA7E3F">
        <w:rPr>
          <w:lang w:val="en-GB" w:eastAsia="en-US"/>
        </w:rPr>
        <w:t>Therefore,</w:t>
      </w:r>
      <w:r>
        <w:rPr>
          <w:lang w:val="en-GB" w:eastAsia="en-US"/>
        </w:rPr>
        <w:t xml:space="preserve"> we need a rule to select some (1 or 2) of the decoding candidates of the configured SFI aggregation in the </w:t>
      </w:r>
      <w:r w:rsidR="00AA7E3F">
        <w:rPr>
          <w:lang w:val="en-GB" w:eastAsia="en-US"/>
        </w:rPr>
        <w:t>associated</w:t>
      </w:r>
      <w:r>
        <w:rPr>
          <w:lang w:val="en-GB" w:eastAsia="en-US"/>
        </w:rPr>
        <w:t xml:space="preserve"> CSS for the GC-PDCCH decoding. For simplicity, we propose to simply use the first 1 or 2 in the associated CSS.</w:t>
      </w:r>
    </w:p>
    <w:p w14:paraId="027DC651" w14:textId="77777777" w:rsidR="00A2740E" w:rsidRDefault="00A2740E" w:rsidP="000B5CAE">
      <w:pPr>
        <w:rPr>
          <w:lang w:val="en-GB" w:eastAsia="en-US"/>
        </w:rPr>
      </w:pPr>
    </w:p>
    <w:p w14:paraId="37D21A8F" w14:textId="63E9C4F7" w:rsidR="000B5CAE" w:rsidRPr="007A635C" w:rsidRDefault="000B5CAE" w:rsidP="00A2740E">
      <w:pPr>
        <w:rPr>
          <w:lang w:val="en-GB" w:eastAsia="en-US"/>
        </w:rPr>
      </w:pPr>
      <w:bookmarkStart w:id="2" w:name="p1"/>
      <w:r w:rsidRPr="007C2EF6">
        <w:rPr>
          <w:lang w:val="en-GB" w:eastAsia="en-US"/>
        </w:rPr>
        <w:t>Proposal</w:t>
      </w:r>
      <w:r w:rsidR="00A2740E" w:rsidRPr="007C2EF6">
        <w:rPr>
          <w:lang w:val="en-GB" w:eastAsia="en-US"/>
        </w:rPr>
        <w:t>:</w:t>
      </w:r>
      <w:r w:rsidR="004C6128" w:rsidRPr="007C2EF6">
        <w:rPr>
          <w:lang w:val="en-GB" w:eastAsia="en-US"/>
        </w:rPr>
        <w:t xml:space="preserve"> </w:t>
      </w:r>
      <w:r w:rsidRPr="007C2EF6">
        <w:rPr>
          <w:lang w:val="en-GB" w:eastAsia="en-US"/>
        </w:rPr>
        <w:t xml:space="preserve">For the CSS a </w:t>
      </w:r>
      <w:r w:rsidR="001E2E6E" w:rsidRPr="007C2EF6">
        <w:rPr>
          <w:lang w:val="en-GB" w:eastAsia="en-US"/>
        </w:rPr>
        <w:t>DCI format 2_0</w:t>
      </w:r>
      <w:r w:rsidRPr="007C2EF6">
        <w:rPr>
          <w:lang w:val="en-GB" w:eastAsia="en-US"/>
        </w:rPr>
        <w:t xml:space="preserve"> is configured to be monitored on, </w:t>
      </w:r>
      <w:r w:rsidR="001E2E6E" w:rsidRPr="007C2EF6">
        <w:rPr>
          <w:lang w:val="en-GB" w:eastAsia="en-US"/>
        </w:rPr>
        <w:t xml:space="preserve">the UE will only monitor </w:t>
      </w:r>
      <w:r w:rsidRPr="007C2EF6">
        <w:rPr>
          <w:lang w:val="en-GB" w:eastAsia="en-US"/>
        </w:rPr>
        <w:t xml:space="preserve">the first one or two (from SFI configuration) </w:t>
      </w:r>
      <w:r w:rsidR="001E2E6E" w:rsidRPr="007C2EF6">
        <w:rPr>
          <w:lang w:val="en-GB" w:eastAsia="en-US"/>
        </w:rPr>
        <w:t>PDCCH</w:t>
      </w:r>
      <w:r w:rsidRPr="007C2EF6">
        <w:rPr>
          <w:lang w:val="en-GB" w:eastAsia="en-US"/>
        </w:rPr>
        <w:t xml:space="preserve"> </w:t>
      </w:r>
      <w:r w:rsidR="00AA7E3F" w:rsidRPr="007C2EF6">
        <w:rPr>
          <w:lang w:val="en-GB" w:eastAsia="en-US"/>
        </w:rPr>
        <w:t>candidates</w:t>
      </w:r>
      <w:r w:rsidRPr="007C2EF6">
        <w:rPr>
          <w:lang w:val="en-GB" w:eastAsia="en-US"/>
        </w:rPr>
        <w:t xml:space="preserve"> of </w:t>
      </w:r>
      <w:r w:rsidR="001E2E6E" w:rsidRPr="007C2EF6">
        <w:rPr>
          <w:lang w:val="en-GB" w:eastAsia="en-US"/>
        </w:rPr>
        <w:t xml:space="preserve">the </w:t>
      </w:r>
      <w:r w:rsidRPr="007C2EF6">
        <w:rPr>
          <w:lang w:val="en-GB" w:eastAsia="en-US"/>
        </w:rPr>
        <w:t xml:space="preserve">configured aggregation level </w:t>
      </w:r>
      <w:r w:rsidR="001E2E6E" w:rsidRPr="007C2EF6">
        <w:rPr>
          <w:lang w:val="en-GB" w:eastAsia="en-US"/>
        </w:rPr>
        <w:t>for</w:t>
      </w:r>
      <w:r w:rsidRPr="007C2EF6">
        <w:rPr>
          <w:lang w:val="en-GB" w:eastAsia="en-US"/>
        </w:rPr>
        <w:t xml:space="preserve"> </w:t>
      </w:r>
      <w:r w:rsidR="001E2E6E" w:rsidRPr="007C2EF6">
        <w:rPr>
          <w:lang w:val="en-GB" w:eastAsia="en-US"/>
        </w:rPr>
        <w:t>DCI format 2_0</w:t>
      </w:r>
      <w:r w:rsidRPr="007A635C">
        <w:rPr>
          <w:lang w:val="en-GB" w:eastAsia="en-US"/>
        </w:rPr>
        <w:t xml:space="preserve"> </w:t>
      </w:r>
    </w:p>
    <w:bookmarkEnd w:id="2"/>
    <w:p w14:paraId="4C8D5660" w14:textId="77777777" w:rsidR="00920B59" w:rsidRPr="00920B59" w:rsidRDefault="00920B59" w:rsidP="00A2740E">
      <w:pPr>
        <w:rPr>
          <w:lang w:val="en-GB" w:eastAsia="en-US"/>
        </w:rPr>
      </w:pPr>
    </w:p>
    <w:p w14:paraId="22FDF3FB" w14:textId="1FE09207" w:rsidR="00CA2634" w:rsidRPr="00CA2634" w:rsidRDefault="00CA2634" w:rsidP="00CA2634">
      <w:pPr>
        <w:pStyle w:val="Heading2"/>
      </w:pPr>
      <w:r>
        <w:t>3.</w:t>
      </w:r>
      <w:r w:rsidR="00A2740E">
        <w:t>2</w:t>
      </w:r>
      <w:r>
        <w:tab/>
      </w:r>
      <w:r w:rsidRPr="00CA2634">
        <w:t xml:space="preserve">On UE </w:t>
      </w:r>
      <w:r w:rsidR="00AA7E3F" w:rsidRPr="00CA2634">
        <w:t>behaviour</w:t>
      </w:r>
      <w:r w:rsidRPr="00CA2634">
        <w:t xml:space="preserve"> when configured GC-PDCCH carrying SFI not detected:</w:t>
      </w:r>
    </w:p>
    <w:p w14:paraId="250DA8D7" w14:textId="0976D0C8" w:rsidR="00920B59" w:rsidRDefault="00112653" w:rsidP="00920B59">
      <w:r>
        <w:t xml:space="preserve">One open issue in the previous discussion is the UE behavior when a </w:t>
      </w:r>
      <w:r w:rsidRPr="00070460">
        <w:t>configured GC-PDCCH carrying dynamic SFI is not detected</w:t>
      </w:r>
      <w:r>
        <w:t xml:space="preserve">. </w:t>
      </w:r>
      <w:r w:rsidR="00920B59">
        <w:t>In RAN1 #91, it has been agreed that Polar code with 24 bit CRC will be used to encode GC-PDCCH carrying SFI in Rel-15. The probability for a decoding error becomes negligible. However, there is still a chance the GC-PDCCH is transmitted but the UE failed to decode. A further complication is, it was agreed that even if the gNB configures the UE to monitor a GC-PDCCH carrying SFI, it is possible for the gNB to skip the transmission of the GC-PDCCH. Then when a UE failed to decode GC-PDCCH, there is also change that the SFI is not transmitted in the beginning.</w:t>
      </w:r>
    </w:p>
    <w:p w14:paraId="7946D12C" w14:textId="77777777" w:rsidR="00920B59" w:rsidRDefault="00920B59" w:rsidP="00D155DE"/>
    <w:p w14:paraId="1E3B5E6E" w14:textId="79F61203" w:rsidR="00112653" w:rsidRDefault="00112653" w:rsidP="00D155DE">
      <w:r>
        <w:t xml:space="preserve">In the previous discussion, different UE behaviors have been </w:t>
      </w:r>
      <w:r w:rsidR="00920B59">
        <w:t>discussed</w:t>
      </w:r>
      <w:r>
        <w:t>:</w:t>
      </w:r>
    </w:p>
    <w:p w14:paraId="5A5C7DF9" w14:textId="77777777" w:rsidR="00920B59" w:rsidRDefault="00920B59" w:rsidP="00920B59"/>
    <w:p w14:paraId="1F03F083" w14:textId="57852029" w:rsidR="00D155DE" w:rsidRDefault="00920B59" w:rsidP="00920B59">
      <w:pPr>
        <w:pStyle w:val="ListParagraph"/>
        <w:numPr>
          <w:ilvl w:val="0"/>
          <w:numId w:val="29"/>
        </w:numPr>
      </w:pPr>
      <w:r>
        <w:t xml:space="preserve">Behavior 1: </w:t>
      </w:r>
      <w:r w:rsidR="00245487" w:rsidRPr="00112653">
        <w:t>UE will follow RRC configuration and DCI</w:t>
      </w:r>
    </w:p>
    <w:p w14:paraId="165DE565" w14:textId="0A12EE45" w:rsidR="00920B59" w:rsidRDefault="00920B59" w:rsidP="00920B59">
      <w:pPr>
        <w:pStyle w:val="ListParagraph"/>
        <w:numPr>
          <w:ilvl w:val="0"/>
          <w:numId w:val="29"/>
        </w:numPr>
      </w:pPr>
      <w:r>
        <w:t>Behavior 2: UE will cancel RRC configured reception or transmission, but not PDCCH monitoring</w:t>
      </w:r>
    </w:p>
    <w:p w14:paraId="2AF9A56B" w14:textId="442F21DF" w:rsidR="00920B59" w:rsidRDefault="00920B59" w:rsidP="00920B59">
      <w:pPr>
        <w:pStyle w:val="ListParagraph"/>
        <w:numPr>
          <w:ilvl w:val="0"/>
          <w:numId w:val="29"/>
        </w:numPr>
      </w:pPr>
      <w:r>
        <w:t>Behavior</w:t>
      </w:r>
      <w:r w:rsidR="007C51E7">
        <w:t xml:space="preserve"> 3</w:t>
      </w:r>
      <w:r>
        <w:t>:</w:t>
      </w:r>
      <w:r w:rsidR="004D66C7">
        <w:t xml:space="preserve"> </w:t>
      </w:r>
      <w:r>
        <w:t>UE will cancel RRC configured transmission, but not the RRC configured reception and PDCCH monitoring</w:t>
      </w:r>
    </w:p>
    <w:p w14:paraId="3915AF81" w14:textId="1497F487" w:rsidR="00920B59" w:rsidRDefault="00920B59" w:rsidP="00920B59"/>
    <w:p w14:paraId="248C9884" w14:textId="41F0D05A" w:rsidR="00920B59" w:rsidRDefault="00920B59" w:rsidP="00920B59">
      <w:r>
        <w:t xml:space="preserve">Behavior 1 is a natural choice if the gNB is more likely to skip the GC-PDCCH transmission. Behavior 2 is preferred if the </w:t>
      </w:r>
      <w:r>
        <w:lastRenderedPageBreak/>
        <w:t>gNB is more likely to transmit the GC-PDCCH, but the reliability of the GC-PDCCH is not high enough</w:t>
      </w:r>
      <w:r w:rsidR="004D66C7">
        <w:t>. T</w:t>
      </w:r>
      <w:r>
        <w:t xml:space="preserve">he behavior </w:t>
      </w:r>
      <w:r w:rsidR="004D66C7">
        <w:t xml:space="preserve">2 </w:t>
      </w:r>
      <w:r>
        <w:t xml:space="preserve">is </w:t>
      </w:r>
      <w:r w:rsidR="004D66C7">
        <w:t>conservative. Behavior 3 is a compromise between the two. Since UL transmission is cancelled, it will not create interference to other receptions. DL reception is not cancelled, so if the SFI actually cancels the DL reception but the UE missed it, it will only hurt the UE’s DL measurement.</w:t>
      </w:r>
    </w:p>
    <w:p w14:paraId="22408B45" w14:textId="49AD8685" w:rsidR="00920B59" w:rsidRDefault="00920B59" w:rsidP="00920B59"/>
    <w:p w14:paraId="210E7E7A" w14:textId="534257EF" w:rsidR="001E2E6E" w:rsidRDefault="001E2E6E" w:rsidP="00920B59">
      <w:r w:rsidRPr="007C2EF6">
        <w:t>Proposal: If a configured DCI format 2_0 is not received, PDCCH monitoring is performed till the next configured DCI format 2_0 monitoring occasion</w:t>
      </w:r>
    </w:p>
    <w:p w14:paraId="605291D0" w14:textId="77777777" w:rsidR="001E2E6E" w:rsidRDefault="001E2E6E" w:rsidP="00920B59"/>
    <w:p w14:paraId="35120699" w14:textId="27C7C60B" w:rsidR="00174F22" w:rsidRPr="007A635C" w:rsidRDefault="00112653" w:rsidP="00920B59">
      <w:bookmarkStart w:id="3" w:name="p2"/>
      <w:r w:rsidRPr="007A635C">
        <w:rPr>
          <w:highlight w:val="yellow"/>
        </w:rPr>
        <w:t>Proposal</w:t>
      </w:r>
      <w:r w:rsidR="00FB6D87" w:rsidRPr="007A635C">
        <w:t>:</w:t>
      </w:r>
      <w:r w:rsidR="00920B59" w:rsidRPr="007A635C">
        <w:t xml:space="preserve"> Further discuss UE</w:t>
      </w:r>
      <w:r w:rsidRPr="007A635C">
        <w:t xml:space="preserve"> behavior when a configured GC-PDCCH carrying dynamic SFI is not detected</w:t>
      </w:r>
      <w:r w:rsidR="00E76382">
        <w:t>, and a scheduling assignment not received for given symbols</w:t>
      </w:r>
    </w:p>
    <w:p w14:paraId="685A3A87" w14:textId="519CFAC1" w:rsidR="007A635C" w:rsidRDefault="007A635C" w:rsidP="007A635C">
      <w:pPr>
        <w:pStyle w:val="ListParagraph"/>
        <w:numPr>
          <w:ilvl w:val="0"/>
          <w:numId w:val="29"/>
        </w:numPr>
      </w:pPr>
      <w:r>
        <w:t xml:space="preserve">Alt 1: </w:t>
      </w:r>
      <w:r w:rsidRPr="00112653">
        <w:t>UE will follow RRC configuration</w:t>
      </w:r>
    </w:p>
    <w:p w14:paraId="0E4C91D0" w14:textId="25F022AE" w:rsidR="007C51E7" w:rsidRDefault="007C51E7" w:rsidP="007C51E7">
      <w:pPr>
        <w:pStyle w:val="ListParagraph"/>
        <w:numPr>
          <w:ilvl w:val="1"/>
          <w:numId w:val="29"/>
        </w:numPr>
      </w:pPr>
      <w:r>
        <w:t>CMCC</w:t>
      </w:r>
    </w:p>
    <w:p w14:paraId="68844D51" w14:textId="54B65242" w:rsidR="007A635C" w:rsidRDefault="007A635C" w:rsidP="007A635C">
      <w:pPr>
        <w:pStyle w:val="ListParagraph"/>
        <w:numPr>
          <w:ilvl w:val="0"/>
          <w:numId w:val="29"/>
        </w:numPr>
      </w:pPr>
      <w:r>
        <w:t>Alt 2: UE will cancel RRC configured transmission</w:t>
      </w:r>
      <w:r w:rsidR="009B3ADA">
        <w:t>, and assume RRC configured DL transmission is not transmitted</w:t>
      </w:r>
    </w:p>
    <w:p w14:paraId="574F014C" w14:textId="61B9018B" w:rsidR="007C51E7" w:rsidRDefault="007C51E7" w:rsidP="007C51E7">
      <w:pPr>
        <w:pStyle w:val="ListParagraph"/>
        <w:numPr>
          <w:ilvl w:val="1"/>
          <w:numId w:val="29"/>
        </w:numPr>
      </w:pPr>
      <w:r>
        <w:t>SS, Nokia, CATT</w:t>
      </w:r>
    </w:p>
    <w:p w14:paraId="36971B6E" w14:textId="1E9538AB" w:rsidR="007A635C" w:rsidRDefault="007A635C" w:rsidP="007A635C">
      <w:pPr>
        <w:pStyle w:val="ListParagraph"/>
        <w:numPr>
          <w:ilvl w:val="0"/>
          <w:numId w:val="29"/>
        </w:numPr>
      </w:pPr>
      <w:r>
        <w:t>Alt 3: UE will cancel RRC configured transmission</w:t>
      </w:r>
    </w:p>
    <w:p w14:paraId="5DBE5F8E" w14:textId="1209318D" w:rsidR="007C51E7" w:rsidRDefault="007C51E7" w:rsidP="007C51E7">
      <w:pPr>
        <w:pStyle w:val="ListParagraph"/>
        <w:numPr>
          <w:ilvl w:val="1"/>
          <w:numId w:val="29"/>
        </w:numPr>
      </w:pPr>
      <w:r>
        <w:t>Panasonic</w:t>
      </w:r>
    </w:p>
    <w:p w14:paraId="238ACEA1" w14:textId="0F0F2BF9" w:rsidR="007A635C" w:rsidRDefault="007A635C" w:rsidP="00920B59">
      <w:pPr>
        <w:rPr>
          <w:b/>
        </w:rPr>
      </w:pPr>
    </w:p>
    <w:p w14:paraId="6D51ED41" w14:textId="087FB9E6" w:rsidR="007C51E7" w:rsidRPr="007A635C" w:rsidRDefault="007C51E7" w:rsidP="007C51E7">
      <w:r w:rsidRPr="007A635C">
        <w:rPr>
          <w:highlight w:val="yellow"/>
        </w:rPr>
        <w:t>Proposal</w:t>
      </w:r>
      <w:r w:rsidRPr="007A635C">
        <w:t xml:space="preserve">: </w:t>
      </w:r>
      <w:r>
        <w:t>For a symbol, if UE received UE-specific DL grant to receive PDSCH and detectd SFI indicating the symbol is flexible</w:t>
      </w:r>
      <w:r w:rsidR="00433F48">
        <w:t xml:space="preserve"> or SFI not detected, UE will perform RRC configured DL reception and PDSCH reception.</w:t>
      </w:r>
    </w:p>
    <w:p w14:paraId="5416A867" w14:textId="77777777" w:rsidR="007C51E7" w:rsidRPr="00920B59" w:rsidRDefault="007C51E7" w:rsidP="00920B59">
      <w:pPr>
        <w:rPr>
          <w:b/>
        </w:rPr>
      </w:pPr>
    </w:p>
    <w:bookmarkEnd w:id="3"/>
    <w:p w14:paraId="4DEA3E3D" w14:textId="4E4E1491" w:rsidR="00112653" w:rsidRDefault="003D2B9C" w:rsidP="003D2B9C">
      <w:pPr>
        <w:pStyle w:val="Heading2"/>
      </w:pPr>
      <w:r>
        <w:t>3.3</w:t>
      </w:r>
      <w:r>
        <w:tab/>
        <w:t>On cell-specific DL/UL assignment</w:t>
      </w:r>
    </w:p>
    <w:p w14:paraId="2A52155D" w14:textId="285AA12F" w:rsidR="003D2B9C" w:rsidRDefault="003D2B9C" w:rsidP="003D2B9C">
      <w:pPr>
        <w:rPr>
          <w:lang w:val="en-GB" w:eastAsia="en-US"/>
        </w:rPr>
      </w:pPr>
      <w:r>
        <w:rPr>
          <w:lang w:val="en-GB" w:eastAsia="en-US"/>
        </w:rPr>
        <w:t>There is a proposal to support more periods:</w:t>
      </w:r>
    </w:p>
    <w:p w14:paraId="1221B6F2" w14:textId="5B60C428" w:rsidR="003D2B9C" w:rsidRDefault="003D2B9C" w:rsidP="003D2B9C">
      <w:pPr>
        <w:rPr>
          <w:lang w:val="en-GB" w:eastAsia="en-US"/>
        </w:rPr>
      </w:pPr>
      <w:r w:rsidRPr="003D2B9C">
        <w:rPr>
          <w:highlight w:val="yellow"/>
          <w:lang w:val="en-GB" w:eastAsia="en-US"/>
        </w:rPr>
        <w:t>Proposal</w:t>
      </w:r>
      <w:r>
        <w:rPr>
          <w:lang w:val="en-GB" w:eastAsia="en-US"/>
        </w:rPr>
        <w:t>: Support additionally 0.125ms and 0.25ms period</w:t>
      </w:r>
    </w:p>
    <w:p w14:paraId="383C287E" w14:textId="00881A39" w:rsidR="003D2B9C" w:rsidRDefault="003D2B9C" w:rsidP="003D2B9C">
      <w:pPr>
        <w:rPr>
          <w:lang w:val="en-GB" w:eastAsia="en-US"/>
        </w:rPr>
      </w:pPr>
    </w:p>
    <w:p w14:paraId="0062B67B" w14:textId="74FD3D39" w:rsidR="003D2B9C" w:rsidRDefault="003D2B9C" w:rsidP="003D2B9C">
      <w:pPr>
        <w:rPr>
          <w:lang w:val="en-GB" w:eastAsia="en-US"/>
        </w:rPr>
      </w:pPr>
      <w:r>
        <w:rPr>
          <w:lang w:val="en-GB" w:eastAsia="en-US"/>
        </w:rPr>
        <w:t>There are also proposals the limit the supported combination of the periodicities when concatenated periodicities is configured:</w:t>
      </w:r>
    </w:p>
    <w:p w14:paraId="1EE26AF6" w14:textId="16B1CFED" w:rsidR="003D2B9C" w:rsidRDefault="003D2B9C" w:rsidP="003D2B9C">
      <w:pPr>
        <w:rPr>
          <w:lang w:val="en-GB" w:eastAsia="en-US"/>
        </w:rPr>
      </w:pPr>
      <w:r w:rsidRPr="00433F48">
        <w:rPr>
          <w:highlight w:val="cyan"/>
          <w:lang w:val="en-GB" w:eastAsia="en-US"/>
        </w:rPr>
        <w:t>Proposal</w:t>
      </w:r>
      <w:r>
        <w:rPr>
          <w:lang w:val="en-GB" w:eastAsia="en-US"/>
        </w:rPr>
        <w:t xml:space="preserve">: </w:t>
      </w:r>
      <w:r w:rsidR="00433F48">
        <w:rPr>
          <w:lang w:val="en-GB" w:eastAsia="en-US"/>
        </w:rPr>
        <w:t>Restrict t</w:t>
      </w:r>
      <w:r>
        <w:rPr>
          <w:lang w:val="en-GB" w:eastAsia="en-US"/>
        </w:rPr>
        <w:t>he combined periodicity</w:t>
      </w:r>
      <w:r w:rsidR="00433F48">
        <w:rPr>
          <w:lang w:val="en-GB" w:eastAsia="en-US"/>
        </w:rPr>
        <w:t xml:space="preserve"> for cell-specific DL/UL assignment to such that </w:t>
      </w:r>
      <w:r>
        <w:rPr>
          <w:lang w:val="en-GB" w:eastAsia="en-US"/>
        </w:rPr>
        <w:t>20ms</w:t>
      </w:r>
      <w:r w:rsidR="00433F48">
        <w:rPr>
          <w:lang w:val="en-GB" w:eastAsia="en-US"/>
        </w:rPr>
        <w:t xml:space="preserve"> is a multiple of the combined periodicity</w:t>
      </w:r>
    </w:p>
    <w:p w14:paraId="3E82828D" w14:textId="2E4A57B5" w:rsidR="00F91702" w:rsidRDefault="00F91702" w:rsidP="003D2B9C">
      <w:pPr>
        <w:rPr>
          <w:lang w:val="en-GB" w:eastAsia="en-US"/>
        </w:rPr>
      </w:pPr>
    </w:p>
    <w:p w14:paraId="7513859B" w14:textId="1884236C" w:rsidR="00F91702" w:rsidRDefault="00F91702" w:rsidP="003D2B9C">
      <w:pPr>
        <w:rPr>
          <w:lang w:val="en-GB" w:eastAsia="en-US"/>
        </w:rPr>
      </w:pPr>
      <w:r>
        <w:rPr>
          <w:lang w:val="en-GB" w:eastAsia="en-US"/>
        </w:rPr>
        <w:t>Action item: Further check if EN-DC allows subframe level offset between NR and LTE. If not, consider the following proposals:</w:t>
      </w:r>
    </w:p>
    <w:p w14:paraId="7132B3E6" w14:textId="4EB9049B" w:rsidR="00433F48" w:rsidRDefault="00433F48" w:rsidP="00433F48">
      <w:pPr>
        <w:rPr>
          <w:lang w:val="en-GB" w:eastAsia="en-US"/>
        </w:rPr>
      </w:pPr>
      <w:r w:rsidRPr="00433F48">
        <w:rPr>
          <w:highlight w:val="yellow"/>
          <w:lang w:val="en-GB" w:eastAsia="en-US"/>
        </w:rPr>
        <w:t>Proposal</w:t>
      </w:r>
      <w:r>
        <w:rPr>
          <w:lang w:val="en-GB" w:eastAsia="en-US"/>
        </w:rPr>
        <w:t>: When the cell-specific</w:t>
      </w:r>
      <w:r w:rsidR="00F91702">
        <w:rPr>
          <w:lang w:val="en-GB" w:eastAsia="en-US"/>
        </w:rPr>
        <w:t xml:space="preserve"> DL/UL configuration </w:t>
      </w:r>
      <w:r>
        <w:rPr>
          <w:lang w:val="en-GB" w:eastAsia="en-US"/>
        </w:rPr>
        <w:t xml:space="preserve">is configured, no explicit offset is provided for the starting slot of the </w:t>
      </w:r>
      <w:r w:rsidR="00F91702">
        <w:rPr>
          <w:lang w:val="en-GB" w:eastAsia="en-US"/>
        </w:rPr>
        <w:t xml:space="preserve">configured </w:t>
      </w:r>
      <w:r>
        <w:rPr>
          <w:lang w:val="en-GB" w:eastAsia="en-US"/>
        </w:rPr>
        <w:t xml:space="preserve">period, but the first slot of each </w:t>
      </w:r>
      <w:r w:rsidR="00A92E76">
        <w:rPr>
          <w:lang w:val="en-GB" w:eastAsia="en-US"/>
        </w:rPr>
        <w:t>even radio frame</w:t>
      </w:r>
      <w:r>
        <w:rPr>
          <w:lang w:val="en-GB" w:eastAsia="en-US"/>
        </w:rPr>
        <w:t xml:space="preserve"> should be </w:t>
      </w:r>
      <w:r w:rsidR="00A92E76">
        <w:rPr>
          <w:lang w:val="en-GB" w:eastAsia="en-US"/>
        </w:rPr>
        <w:t>a</w:t>
      </w:r>
      <w:r>
        <w:rPr>
          <w:lang w:val="en-GB" w:eastAsia="en-US"/>
        </w:rPr>
        <w:t xml:space="preserve"> start</w:t>
      </w:r>
      <w:r w:rsidR="00A92E76">
        <w:rPr>
          <w:lang w:val="en-GB" w:eastAsia="en-US"/>
        </w:rPr>
        <w:t>ing slot of the configured cell-specific DL/UL pattern</w:t>
      </w:r>
      <w:r>
        <w:rPr>
          <w:lang w:val="en-GB" w:eastAsia="en-US"/>
        </w:rPr>
        <w:t>.</w:t>
      </w:r>
    </w:p>
    <w:p w14:paraId="0B463A4E" w14:textId="08737121" w:rsidR="003D2B9C" w:rsidRDefault="003D2B9C" w:rsidP="003D2B9C">
      <w:pPr>
        <w:rPr>
          <w:lang w:val="en-GB" w:eastAsia="en-US"/>
        </w:rPr>
      </w:pPr>
      <w:r w:rsidRPr="00EA7995">
        <w:rPr>
          <w:highlight w:val="yellow"/>
          <w:lang w:val="en-GB" w:eastAsia="en-US"/>
        </w:rPr>
        <w:t>Proposal</w:t>
      </w:r>
      <w:r>
        <w:rPr>
          <w:lang w:val="en-GB" w:eastAsia="en-US"/>
        </w:rPr>
        <w:t>: Further support 3ms</w:t>
      </w:r>
      <w:r w:rsidR="00870833">
        <w:rPr>
          <w:lang w:val="en-GB" w:eastAsia="en-US"/>
        </w:rPr>
        <w:t xml:space="preserve">, 4ms, 6ms, and 7ms </w:t>
      </w:r>
      <w:r w:rsidR="00A92E76">
        <w:rPr>
          <w:lang w:val="en-GB" w:eastAsia="en-US"/>
        </w:rPr>
        <w:t>as cell-specific DL/UL assignment periods.</w:t>
      </w:r>
    </w:p>
    <w:p w14:paraId="5407D436" w14:textId="37A03064" w:rsidR="00433F48" w:rsidRDefault="00433F48" w:rsidP="003D2B9C">
      <w:pPr>
        <w:rPr>
          <w:lang w:val="en-GB" w:eastAsia="en-US"/>
        </w:rPr>
      </w:pPr>
    </w:p>
    <w:p w14:paraId="49986E4B" w14:textId="2DCA444C" w:rsidR="00BD6AA8" w:rsidRDefault="00BD6AA8" w:rsidP="003D2B9C">
      <w:pPr>
        <w:rPr>
          <w:lang w:eastAsia="en-US"/>
        </w:rPr>
      </w:pPr>
      <w:r w:rsidRPr="00BD6AA8">
        <w:rPr>
          <w:highlight w:val="yellow"/>
          <w:lang w:eastAsia="en-US"/>
        </w:rPr>
        <w:t>Proposal</w:t>
      </w:r>
      <w:r>
        <w:rPr>
          <w:lang w:eastAsia="en-US"/>
        </w:rPr>
        <w:t>:</w:t>
      </w:r>
      <w:r w:rsidRPr="00BD6AA8">
        <w:rPr>
          <w:lang w:eastAsia="en-US"/>
        </w:rPr>
        <w:t xml:space="preserve"> </w:t>
      </w:r>
      <w:r>
        <w:rPr>
          <w:lang w:eastAsia="en-US"/>
        </w:rPr>
        <w:t xml:space="preserve">Between SSB and semi-static DL/UL assignement, allow </w:t>
      </w:r>
      <w:r w:rsidRPr="00BD6AA8">
        <w:rPr>
          <w:lang w:eastAsia="en-US"/>
        </w:rPr>
        <w:t>SSB override the semi-static "U" for the case when a collision happens.</w:t>
      </w:r>
    </w:p>
    <w:p w14:paraId="5E7023C4" w14:textId="5C374EF5" w:rsidR="006B4843" w:rsidRPr="00BD6AA8" w:rsidRDefault="006B4843" w:rsidP="003D2B9C">
      <w:pPr>
        <w:rPr>
          <w:lang w:eastAsia="en-US"/>
        </w:rPr>
      </w:pPr>
      <w:r w:rsidRPr="006B4843">
        <w:rPr>
          <w:highlight w:val="yellow"/>
          <w:lang w:eastAsia="en-US"/>
        </w:rPr>
        <w:t>Proposal</w:t>
      </w:r>
      <w:r>
        <w:rPr>
          <w:lang w:eastAsia="en-US"/>
        </w:rPr>
        <w:t xml:space="preserve">: For a symbol indicated by RMSI SSB bitmap as carrying SSB, if the semi-static DL/UL assignment indicates the symbol as UL, the semi-static DL/UL assignment for the symbol will be overwriten to </w:t>
      </w:r>
      <w:r w:rsidR="00294439">
        <w:rPr>
          <w:lang w:eastAsia="en-US"/>
        </w:rPr>
        <w:t>DL.</w:t>
      </w:r>
    </w:p>
    <w:p w14:paraId="529F54AE" w14:textId="4B7765D8" w:rsidR="00CA2634" w:rsidRDefault="00CA2634" w:rsidP="00CA2634">
      <w:pPr>
        <w:pStyle w:val="Heading2"/>
      </w:pPr>
      <w:r>
        <w:t>3.</w:t>
      </w:r>
      <w:r w:rsidR="000D4414">
        <w:t>4</w:t>
      </w:r>
      <w:r>
        <w:tab/>
        <w:t>On SFI action time</w:t>
      </w:r>
    </w:p>
    <w:p w14:paraId="29707DB6" w14:textId="0FB9C718" w:rsidR="000B5CAE" w:rsidRDefault="00112653" w:rsidP="00D155DE">
      <w:r>
        <w:t xml:space="preserve">In RAN1 </w:t>
      </w:r>
      <w:r w:rsidR="00A2740E">
        <w:t>NRAH #1801</w:t>
      </w:r>
      <w:r w:rsidR="000B5CAE">
        <w:t>, it was agreed that</w:t>
      </w:r>
    </w:p>
    <w:p w14:paraId="5965CE24" w14:textId="77777777" w:rsidR="000B5CAE" w:rsidRPr="00811215" w:rsidRDefault="000B5CAE" w:rsidP="000B5CAE">
      <w:pPr>
        <w:pStyle w:val="ListParagraph"/>
        <w:numPr>
          <w:ilvl w:val="0"/>
          <w:numId w:val="29"/>
        </w:numPr>
        <w:rPr>
          <w:szCs w:val="20"/>
        </w:rPr>
      </w:pPr>
      <w:r w:rsidRPr="00811215">
        <w:rPr>
          <w:szCs w:val="20"/>
        </w:rPr>
        <w:t xml:space="preserve">On the action time for GC-PDCCH carrying SFI, </w:t>
      </w:r>
    </w:p>
    <w:p w14:paraId="31A22148" w14:textId="77777777" w:rsidR="000B5CAE" w:rsidRPr="00811215" w:rsidRDefault="000B5CAE" w:rsidP="000B5CAE">
      <w:pPr>
        <w:pStyle w:val="ListParagraph"/>
        <w:numPr>
          <w:ilvl w:val="1"/>
          <w:numId w:val="29"/>
        </w:numPr>
        <w:rPr>
          <w:szCs w:val="20"/>
        </w:rPr>
      </w:pPr>
      <w:r w:rsidRPr="00811215">
        <w:rPr>
          <w:szCs w:val="20"/>
        </w:rPr>
        <w:t>For RRC configured DL reception cancellation, same slot cancellation is supported</w:t>
      </w:r>
    </w:p>
    <w:p w14:paraId="33E397B5" w14:textId="77777777" w:rsidR="000B5CAE" w:rsidRPr="00811215" w:rsidRDefault="000B5CAE" w:rsidP="000B5CAE">
      <w:pPr>
        <w:pStyle w:val="ListParagraph"/>
        <w:numPr>
          <w:ilvl w:val="1"/>
          <w:numId w:val="29"/>
        </w:numPr>
        <w:rPr>
          <w:szCs w:val="20"/>
        </w:rPr>
      </w:pPr>
      <w:r w:rsidRPr="00811215">
        <w:rPr>
          <w:szCs w:val="20"/>
        </w:rPr>
        <w:t>For RRC configured UL transmission cancellation, N2 timeline is followed.</w:t>
      </w:r>
    </w:p>
    <w:p w14:paraId="3D3FB858" w14:textId="77777777" w:rsidR="000B5CAE" w:rsidRPr="00811215" w:rsidRDefault="000B5CAE" w:rsidP="000B5CAE">
      <w:pPr>
        <w:pStyle w:val="ListParagraph"/>
        <w:numPr>
          <w:ilvl w:val="1"/>
          <w:numId w:val="29"/>
        </w:numPr>
        <w:rPr>
          <w:szCs w:val="20"/>
        </w:rPr>
      </w:pPr>
      <w:r w:rsidRPr="00811215">
        <w:rPr>
          <w:szCs w:val="20"/>
        </w:rPr>
        <w:t>Further discussion offline on the detailed conditions for DL/UL cancellation</w:t>
      </w:r>
      <w:r>
        <w:rPr>
          <w:szCs w:val="20"/>
        </w:rPr>
        <w:t xml:space="preserve"> (related to the overwriting rules)</w:t>
      </w:r>
    </w:p>
    <w:p w14:paraId="4D0E092A" w14:textId="77777777" w:rsidR="000B5CAE" w:rsidRDefault="000B5CAE" w:rsidP="000B5CAE"/>
    <w:p w14:paraId="6E112EFA" w14:textId="053AA896" w:rsidR="000B5CAE" w:rsidRDefault="000B5CAE" w:rsidP="00A2740E">
      <w:r>
        <w:t xml:space="preserve">Further discussions are needed </w:t>
      </w:r>
      <w:r w:rsidR="00A2740E">
        <w:t xml:space="preserve">for the case </w:t>
      </w:r>
      <w:r w:rsidR="00AE00F1">
        <w:t>about the</w:t>
      </w:r>
      <w:r>
        <w:t xml:space="preserve"> action time for over</w:t>
      </w:r>
      <w:r w:rsidR="00AE00F1">
        <w:t>riding</w:t>
      </w:r>
      <w:r>
        <w:t xml:space="preserve"> of the RRC configured DL reception or UL transmission by UE-specific DCI </w:t>
      </w:r>
      <w:r w:rsidR="00AA7E3F">
        <w:t>from</w:t>
      </w:r>
      <w:r>
        <w:t xml:space="preserve"> transmission in the other direction</w:t>
      </w:r>
    </w:p>
    <w:p w14:paraId="0360715F" w14:textId="4764E908" w:rsidR="000B5CAE" w:rsidRDefault="000B5CAE" w:rsidP="00A2740E">
      <w:pPr>
        <w:pStyle w:val="bullet"/>
        <w:numPr>
          <w:ilvl w:val="0"/>
          <w:numId w:val="0"/>
        </w:numPr>
      </w:pPr>
    </w:p>
    <w:p w14:paraId="4AC772CB" w14:textId="01E8F90B" w:rsidR="00AE12DA" w:rsidRDefault="00174550" w:rsidP="00AE00F1">
      <w:bookmarkStart w:id="4" w:name="p3"/>
      <w:r w:rsidRPr="00EA7995">
        <w:rPr>
          <w:highlight w:val="yellow"/>
        </w:rPr>
        <w:t>Proposa</w:t>
      </w:r>
      <w:r w:rsidR="007A635C" w:rsidRPr="00EA7995">
        <w:rPr>
          <w:highlight w:val="yellow"/>
        </w:rPr>
        <w:t>l</w:t>
      </w:r>
      <w:r w:rsidR="00FB6D87" w:rsidRPr="007A635C">
        <w:t>:</w:t>
      </w:r>
      <w:r w:rsidR="00AE00F1" w:rsidRPr="007A635C">
        <w:t xml:space="preserve"> </w:t>
      </w:r>
      <w:r w:rsidR="000B5CAE" w:rsidRPr="007A635C">
        <w:t>On the action time for overwriting of the RRC configured DL reception or UL transmission by UE-specific DCI fro</w:t>
      </w:r>
      <w:r w:rsidR="00FB6D87" w:rsidRPr="007A635C">
        <w:t>m</w:t>
      </w:r>
      <w:r w:rsidR="000B5CAE" w:rsidRPr="007A635C">
        <w:t xml:space="preserve"> transmission in the other direction</w:t>
      </w:r>
      <w:r w:rsidR="00AE00F1" w:rsidRPr="007A635C">
        <w:t>, the sam</w:t>
      </w:r>
      <w:r w:rsidR="00AE12DA" w:rsidRPr="007A635C">
        <w:t>e action time as SFI based cancellation</w:t>
      </w:r>
      <w:r w:rsidR="00AE00F1" w:rsidRPr="007A635C">
        <w:t xml:space="preserve"> is applied.</w:t>
      </w:r>
    </w:p>
    <w:p w14:paraId="61A6BE49" w14:textId="7E7AB334" w:rsidR="000D4414" w:rsidRPr="007A635C" w:rsidRDefault="000D4414" w:rsidP="00AE00F1">
      <w:r w:rsidRPr="00EA7995">
        <w:rPr>
          <w:highlight w:val="yellow"/>
        </w:rPr>
        <w:lastRenderedPageBreak/>
        <w:t>Proposal</w:t>
      </w:r>
      <w:r>
        <w:t xml:space="preserve">: </w:t>
      </w:r>
      <w:r>
        <w:rPr>
          <w:rFonts w:ascii="Calibri" w:eastAsia="Times New Roman" w:hAnsi="Calibri" w:cs="Calibri"/>
          <w:szCs w:val="22"/>
        </w:rPr>
        <w:t>O</w:t>
      </w:r>
      <w:r w:rsidRPr="00D800FC">
        <w:rPr>
          <w:rFonts w:ascii="Calibri" w:eastAsia="Times New Roman" w:hAnsi="Calibri" w:cs="Calibri"/>
          <w:szCs w:val="22"/>
        </w:rPr>
        <w:t xml:space="preserve">n cancel RRC UL/DL </w:t>
      </w:r>
      <w:r>
        <w:rPr>
          <w:rFonts w:ascii="Calibri" w:eastAsia="Times New Roman" w:hAnsi="Calibri" w:cs="Calibri"/>
          <w:szCs w:val="22"/>
        </w:rPr>
        <w:t>with DCI granted</w:t>
      </w:r>
      <w:r w:rsidRPr="00D800FC">
        <w:rPr>
          <w:rFonts w:ascii="Calibri" w:eastAsia="Times New Roman" w:hAnsi="Calibri" w:cs="Calibri"/>
          <w:szCs w:val="22"/>
        </w:rPr>
        <w:t xml:space="preserve"> DL/UL, the timeline is n+2/2/3/4 for 15/30/60/120KHz for K</w:t>
      </w:r>
      <w:r>
        <w:rPr>
          <w:rFonts w:ascii="Calibri" w:eastAsia="Times New Roman" w:hAnsi="Calibri" w:cs="Calibri"/>
          <w:szCs w:val="22"/>
        </w:rPr>
        <w:t>0</w:t>
      </w:r>
      <w:r w:rsidRPr="00D800FC">
        <w:rPr>
          <w:rFonts w:ascii="Calibri" w:eastAsia="Times New Roman" w:hAnsi="Calibri" w:cs="Calibri"/>
          <w:szCs w:val="22"/>
        </w:rPr>
        <w:t>/K2</w:t>
      </w:r>
    </w:p>
    <w:bookmarkEnd w:id="4"/>
    <w:p w14:paraId="1559C791" w14:textId="0E584D5F" w:rsidR="00CF6AE5" w:rsidRDefault="00CF6AE5" w:rsidP="00CF6AE5"/>
    <w:p w14:paraId="6C9CE10B" w14:textId="1FE5624F" w:rsidR="000D4414" w:rsidRDefault="000D4414" w:rsidP="00CF6AE5">
      <w:r w:rsidRPr="00EA7995">
        <w:rPr>
          <w:highlight w:val="yellow"/>
        </w:rPr>
        <w:t>Proposal</w:t>
      </w:r>
      <w:r>
        <w:t xml:space="preserve">: Modify the earlier agreement to </w:t>
      </w:r>
    </w:p>
    <w:p w14:paraId="3BBD2C32" w14:textId="77777777" w:rsidR="000D4414" w:rsidRPr="00811215" w:rsidRDefault="000D4414" w:rsidP="000D4414">
      <w:pPr>
        <w:pStyle w:val="ListParagraph"/>
        <w:numPr>
          <w:ilvl w:val="0"/>
          <w:numId w:val="29"/>
        </w:numPr>
        <w:rPr>
          <w:szCs w:val="20"/>
        </w:rPr>
      </w:pPr>
      <w:r w:rsidRPr="00811215">
        <w:rPr>
          <w:szCs w:val="20"/>
        </w:rPr>
        <w:t xml:space="preserve">On the action time for GC-PDCCH carrying SFI, </w:t>
      </w:r>
    </w:p>
    <w:p w14:paraId="63554038" w14:textId="77777777" w:rsidR="000D4414" w:rsidRPr="00811215" w:rsidRDefault="000D4414" w:rsidP="000D4414">
      <w:pPr>
        <w:pStyle w:val="ListParagraph"/>
        <w:numPr>
          <w:ilvl w:val="1"/>
          <w:numId w:val="29"/>
        </w:numPr>
        <w:rPr>
          <w:szCs w:val="20"/>
        </w:rPr>
      </w:pPr>
      <w:r w:rsidRPr="00811215">
        <w:rPr>
          <w:szCs w:val="20"/>
        </w:rPr>
        <w:t>For RRC configured DL reception cancellation, same slot cancellation is supported</w:t>
      </w:r>
    </w:p>
    <w:p w14:paraId="3DF9430C" w14:textId="30A06CAC" w:rsidR="000D4414" w:rsidRPr="00CA2634" w:rsidRDefault="000D4414" w:rsidP="000D4414">
      <w:pPr>
        <w:pStyle w:val="ListParagraph"/>
        <w:numPr>
          <w:ilvl w:val="1"/>
          <w:numId w:val="29"/>
        </w:numPr>
      </w:pPr>
      <w:r w:rsidRPr="00811215">
        <w:t>For RRC configured UL transmission cancellation, N2</w:t>
      </w:r>
      <w:r w:rsidRPr="000D4414">
        <w:rPr>
          <w:color w:val="FF0000"/>
          <w:u w:val="single"/>
        </w:rPr>
        <w:t>+TA</w:t>
      </w:r>
      <w:r w:rsidRPr="000D4414">
        <w:rPr>
          <w:color w:val="FF0000"/>
        </w:rPr>
        <w:t xml:space="preserve"> </w:t>
      </w:r>
      <w:r w:rsidRPr="00811215">
        <w:t>timeline is followed</w:t>
      </w:r>
    </w:p>
    <w:p w14:paraId="14B63D7B" w14:textId="3D04F301" w:rsidR="008F49DA" w:rsidRDefault="008F49DA" w:rsidP="008F49DA">
      <w:pPr>
        <w:pStyle w:val="Heading2"/>
      </w:pPr>
      <w:r>
        <w:t>3.</w:t>
      </w:r>
      <w:r w:rsidR="000D4414">
        <w:t>5</w:t>
      </w:r>
      <w:r>
        <w:tab/>
        <w:t xml:space="preserve">On configuration of the monitoring of GC-PDCCH carrying SFI </w:t>
      </w:r>
    </w:p>
    <w:p w14:paraId="09DEC539" w14:textId="135EECFA"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3BB5E001" w14:textId="0F736848" w:rsidR="00AE00F1" w:rsidRDefault="00AE00F1" w:rsidP="008F49DA">
      <w:pPr>
        <w:rPr>
          <w:lang w:val="en-GB" w:eastAsia="en-US"/>
        </w:rPr>
      </w:pPr>
    </w:p>
    <w:p w14:paraId="59743A9E" w14:textId="5D75B23E" w:rsidR="00AE00F1" w:rsidRDefault="00AE00F1" w:rsidP="008F49DA">
      <w:pPr>
        <w:rPr>
          <w:lang w:val="en-GB" w:eastAsia="en-US"/>
        </w:rPr>
      </w:pPr>
      <w:r>
        <w:rPr>
          <w:lang w:val="en-GB" w:eastAsia="en-US"/>
        </w:rPr>
        <w:t xml:space="preserve">If the length of multi-slot SFI is smaller than the monitoring period, the last slots in the monitoring period is not </w:t>
      </w:r>
      <w:r w:rsidR="00FB6D87">
        <w:rPr>
          <w:lang w:val="en-GB" w:eastAsia="en-US"/>
        </w:rPr>
        <w:t>indicated</w:t>
      </w:r>
      <w:r>
        <w:rPr>
          <w:lang w:val="en-GB" w:eastAsia="en-US"/>
        </w:rPr>
        <w:t xml:space="preserve">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4240CB49" w14:textId="2700E717" w:rsidR="008F49DA" w:rsidRDefault="008F49DA" w:rsidP="008F49DA">
      <w:pPr>
        <w:rPr>
          <w:lang w:val="en-GB" w:eastAsia="en-US"/>
        </w:rPr>
      </w:pPr>
    </w:p>
    <w:p w14:paraId="4C706976" w14:textId="089A5D60" w:rsidR="008F49DA" w:rsidRPr="007A635C" w:rsidRDefault="008F49DA" w:rsidP="00AE00F1">
      <w:pPr>
        <w:rPr>
          <w:lang w:val="en-GB" w:eastAsia="en-US"/>
        </w:rPr>
      </w:pPr>
      <w:bookmarkStart w:id="5" w:name="p4"/>
      <w:r w:rsidRPr="007A635C">
        <w:rPr>
          <w:highlight w:val="yellow"/>
          <w:lang w:val="en-GB" w:eastAsia="en-US"/>
        </w:rPr>
        <w:t>Proposal</w:t>
      </w:r>
      <w:r w:rsidR="00FB6D87" w:rsidRPr="007A635C">
        <w:rPr>
          <w:lang w:val="en-GB" w:eastAsia="en-US"/>
        </w:rPr>
        <w:t>:</w:t>
      </w:r>
      <w:r w:rsidR="00AE00F1" w:rsidRPr="007A635C">
        <w:rPr>
          <w:lang w:val="en-GB" w:eastAsia="en-US"/>
        </w:rPr>
        <w:t xml:space="preserve"> </w:t>
      </w:r>
      <w:r w:rsidRPr="007A635C">
        <w:rPr>
          <w:lang w:val="en-GB" w:eastAsia="en-US"/>
        </w:rPr>
        <w:t>For a slot not covered by SFI, UE follows semi-static configuration and DCI</w:t>
      </w:r>
      <w:r w:rsidR="00AE00F1" w:rsidRPr="007A635C">
        <w:rPr>
          <w:lang w:val="en-GB" w:eastAsia="en-US"/>
        </w:rPr>
        <w:t>.</w:t>
      </w:r>
    </w:p>
    <w:bookmarkEnd w:id="5"/>
    <w:p w14:paraId="3D7EBE77" w14:textId="407C6CFD" w:rsidR="00AE00F1" w:rsidRDefault="00AE00F1" w:rsidP="00AE00F1">
      <w:pPr>
        <w:rPr>
          <w:lang w:val="en-GB" w:eastAsia="en-US"/>
        </w:rPr>
      </w:pPr>
    </w:p>
    <w:p w14:paraId="006E0573" w14:textId="288D9F6B" w:rsidR="00AE00F1" w:rsidRDefault="00AE00F1" w:rsidP="00AE00F1">
      <w:pPr>
        <w:rPr>
          <w:lang w:val="en-GB" w:eastAsia="en-US"/>
        </w:rPr>
      </w:pPr>
      <w:r>
        <w:rPr>
          <w:lang w:val="en-GB" w:eastAsia="en-US"/>
        </w:rPr>
        <w:t xml:space="preserve">On the other hand, the length of the multi-slot SFI may exceed the configured monitoring period. One use case for this is when </w:t>
      </w:r>
      <w:r w:rsidR="00FB6D87">
        <w:rPr>
          <w:lang w:val="en-GB" w:eastAsia="en-US"/>
        </w:rPr>
        <w:t>the</w:t>
      </w:r>
      <w:r>
        <w:rPr>
          <w:lang w:val="en-GB" w:eastAsia="en-US"/>
        </w:rPr>
        <w:t xml:space="preserve"> first slot of the next monitoring period is UL. Then in general, it is possible for </w:t>
      </w:r>
      <w:r w:rsidR="00192BC5">
        <w:rPr>
          <w:lang w:val="en-GB" w:eastAsia="en-US"/>
        </w:rPr>
        <w:t xml:space="preserve">one particular slot to be covered in the range of two multi-slot SFIs. In this case, we need to decide on the behaviour on which multi-slot SFI to follow. The simple solution is later SFI is always consistent with earlier SFI. Another solution is to allow later SFI to change what was </w:t>
      </w:r>
      <w:r w:rsidR="00FB6D87">
        <w:rPr>
          <w:lang w:val="en-GB" w:eastAsia="en-US"/>
        </w:rPr>
        <w:t>indicated</w:t>
      </w:r>
      <w:r w:rsidR="00192BC5">
        <w:rPr>
          <w:lang w:val="en-GB" w:eastAsia="en-US"/>
        </w:rPr>
        <w:t xml:space="preserve"> in the earlier SFI. Further discussion is needed.</w:t>
      </w:r>
    </w:p>
    <w:p w14:paraId="4CCD9DF7" w14:textId="5FC2EF85" w:rsidR="00AE00F1" w:rsidRDefault="00AE00F1" w:rsidP="00AE00F1">
      <w:pPr>
        <w:rPr>
          <w:lang w:val="en-GB" w:eastAsia="en-US"/>
        </w:rPr>
      </w:pPr>
    </w:p>
    <w:p w14:paraId="191EE4F0" w14:textId="77777777" w:rsidR="00192BC5" w:rsidRDefault="00AE00F1" w:rsidP="00192BC5">
      <w:pPr>
        <w:keepNext/>
      </w:pPr>
      <w:r w:rsidRPr="00AE00F1">
        <w:rPr>
          <w:lang w:eastAsia="en-US"/>
        </w:rPr>
        <w:object w:dxaOrig="13983" w:dyaOrig="3347" w14:anchorId="44520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5.2pt" o:ole="">
            <v:imagedata r:id="rId13" o:title=""/>
          </v:shape>
          <o:OLEObject Type="Embed" ProgID="Visio.Drawing.11" ShapeID="_x0000_i1025" DrawAspect="Content" ObjectID="_1581243952" r:id="rId14"/>
        </w:object>
      </w:r>
    </w:p>
    <w:p w14:paraId="546BBB86" w14:textId="28E4CB23" w:rsidR="00AE00F1" w:rsidRPr="00AE00F1" w:rsidRDefault="00192BC5" w:rsidP="00192BC5">
      <w:pPr>
        <w:pStyle w:val="Caption"/>
        <w:rPr>
          <w:lang w:val="en-GB" w:eastAsia="en-US"/>
        </w:rPr>
      </w:pPr>
      <w:r>
        <w:t xml:space="preserve">Figure </w:t>
      </w:r>
      <w:fldSimple w:instr=" SEQ Figure \* ARABIC ">
        <w:r w:rsidR="00AA7E3F">
          <w:rPr>
            <w:noProof/>
          </w:rPr>
          <w:t>1</w:t>
        </w:r>
      </w:fldSimple>
      <w:r>
        <w:t>. Example with SFI monitoring every 2 slots, but multi-slot SFI covers 4 slots</w:t>
      </w:r>
    </w:p>
    <w:p w14:paraId="0F8AB4FA" w14:textId="43963519" w:rsidR="008F49DA" w:rsidRPr="003D2B9C" w:rsidRDefault="00AE00F1" w:rsidP="00AE00F1">
      <w:pPr>
        <w:rPr>
          <w:lang w:val="en-GB" w:eastAsia="en-US"/>
        </w:rPr>
      </w:pPr>
      <w:bookmarkStart w:id="6" w:name="p5"/>
      <w:r w:rsidRPr="003D2B9C">
        <w:rPr>
          <w:highlight w:val="yellow"/>
          <w:lang w:val="en-GB" w:eastAsia="en-US"/>
        </w:rPr>
        <w:t>Proposal</w:t>
      </w:r>
      <w:r w:rsidR="00FB6D87" w:rsidRPr="003D2B9C">
        <w:rPr>
          <w:lang w:val="en-GB" w:eastAsia="en-US"/>
        </w:rPr>
        <w:t>:</w:t>
      </w:r>
      <w:r w:rsidRPr="003D2B9C">
        <w:rPr>
          <w:lang w:val="en-GB" w:eastAsia="en-US"/>
        </w:rPr>
        <w:t xml:space="preserve"> F</w:t>
      </w:r>
      <w:r w:rsidR="008F49DA" w:rsidRPr="003D2B9C">
        <w:rPr>
          <w:lang w:val="en-GB" w:eastAsia="en-US"/>
        </w:rPr>
        <w:t>or a slot covered by multiple SFIs transmitted at different slots</w:t>
      </w:r>
    </w:p>
    <w:p w14:paraId="574D9DE1" w14:textId="77777777" w:rsidR="008F49DA" w:rsidRPr="003D2B9C" w:rsidRDefault="008F49DA" w:rsidP="00AE00F1">
      <w:pPr>
        <w:pStyle w:val="ListParagraph"/>
        <w:numPr>
          <w:ilvl w:val="0"/>
          <w:numId w:val="33"/>
        </w:numPr>
        <w:rPr>
          <w:lang w:val="en-GB" w:eastAsia="en-US"/>
        </w:rPr>
      </w:pPr>
      <w:r w:rsidRPr="003D2B9C">
        <w:rPr>
          <w:lang w:val="en-GB" w:eastAsia="en-US"/>
        </w:rPr>
        <w:t>Alt 1: The later SFI can overwrite the earlier SFI</w:t>
      </w:r>
    </w:p>
    <w:p w14:paraId="57AEB061" w14:textId="5B031E12" w:rsidR="008F49DA" w:rsidRDefault="008F49DA" w:rsidP="00AE00F1">
      <w:pPr>
        <w:pStyle w:val="ListParagraph"/>
        <w:numPr>
          <w:ilvl w:val="0"/>
          <w:numId w:val="33"/>
        </w:numPr>
        <w:rPr>
          <w:lang w:val="en-GB" w:eastAsia="en-US"/>
        </w:rPr>
      </w:pPr>
      <w:r w:rsidRPr="003D2B9C">
        <w:rPr>
          <w:lang w:val="en-GB" w:eastAsia="en-US"/>
        </w:rPr>
        <w:t>Alt 2: The later SFI can only overwrite the state of symbols indicated as flexible in the earlier SFI</w:t>
      </w:r>
    </w:p>
    <w:p w14:paraId="21A576E0" w14:textId="2C9B0B6B" w:rsidR="00D32ECD" w:rsidRPr="003D2B9C" w:rsidRDefault="00D32ECD" w:rsidP="00D32ECD">
      <w:pPr>
        <w:pStyle w:val="ListParagraph"/>
        <w:numPr>
          <w:ilvl w:val="0"/>
          <w:numId w:val="33"/>
        </w:numPr>
        <w:rPr>
          <w:lang w:val="en-GB" w:eastAsia="en-US"/>
        </w:rPr>
      </w:pPr>
      <w:r>
        <w:rPr>
          <w:lang w:val="en-GB" w:eastAsia="en-US"/>
        </w:rPr>
        <w:t xml:space="preserve">Alt 3: The later SFI is always </w:t>
      </w:r>
      <w:r w:rsidRPr="00D32ECD">
        <w:rPr>
          <w:lang w:val="en-GB" w:eastAsia="en-US"/>
        </w:rPr>
        <w:t>consistent with earlier SFI, i.e. not to change what was indicated before</w:t>
      </w:r>
    </w:p>
    <w:bookmarkEnd w:id="6"/>
    <w:p w14:paraId="21F8E1C0" w14:textId="53DD9270" w:rsidR="007A635C" w:rsidRDefault="007A635C" w:rsidP="008F49DA">
      <w:pPr>
        <w:rPr>
          <w:lang w:val="en-GB" w:eastAsia="en-US"/>
        </w:rPr>
      </w:pPr>
    </w:p>
    <w:p w14:paraId="7647B391" w14:textId="63651222" w:rsidR="007A635C" w:rsidRDefault="007A635C" w:rsidP="007A635C">
      <w:pPr>
        <w:pStyle w:val="Heading2"/>
      </w:pPr>
      <w:r>
        <w:t>3.</w:t>
      </w:r>
      <w:r w:rsidR="000D4414">
        <w:t>6</w:t>
      </w:r>
      <w:r>
        <w:t xml:space="preserve"> On UE-specific SFI table configuration for SUL</w:t>
      </w:r>
    </w:p>
    <w:p w14:paraId="3ABDC7D5" w14:textId="15FD9C16" w:rsidR="007A635C" w:rsidRDefault="007A635C" w:rsidP="007A635C">
      <w:pPr>
        <w:rPr>
          <w:lang w:val="en-GB" w:eastAsia="en-US"/>
        </w:rPr>
      </w:pPr>
      <w:r>
        <w:rPr>
          <w:lang w:val="en-GB" w:eastAsia="en-US"/>
        </w:rPr>
        <w:t xml:space="preserve">Agreement not captured in 38.213 text. </w:t>
      </w:r>
    </w:p>
    <w:p w14:paraId="3D59AEEA" w14:textId="77777777" w:rsidR="007A635C" w:rsidRDefault="007A635C" w:rsidP="007A635C">
      <w:pPr>
        <w:rPr>
          <w:lang w:val="en-GB" w:eastAsia="en-US"/>
        </w:rPr>
      </w:pPr>
    </w:p>
    <w:p w14:paraId="1F10625E" w14:textId="2A15B947" w:rsidR="007A635C" w:rsidRPr="003D2B9C" w:rsidRDefault="007A635C" w:rsidP="007A635C">
      <w:pPr>
        <w:rPr>
          <w:lang w:val="en-GB" w:eastAsia="en-US"/>
        </w:rPr>
      </w:pPr>
      <w:r w:rsidRPr="003D2B9C">
        <w:rPr>
          <w:highlight w:val="yellow"/>
          <w:lang w:val="en-GB" w:eastAsia="en-US"/>
        </w:rPr>
        <w:t>Proposal</w:t>
      </w:r>
      <w:r w:rsidRPr="003D2B9C">
        <w:rPr>
          <w:lang w:val="en-GB" w:eastAsia="en-US"/>
        </w:rPr>
        <w:t>: Adopt the following text in 38.213 Section 11.1.1 for SUL SFI configuration</w:t>
      </w:r>
    </w:p>
    <w:p w14:paraId="1E71A7EB" w14:textId="26C9ED5D" w:rsidR="007A635C" w:rsidRDefault="007A635C" w:rsidP="007A635C">
      <w:pPr>
        <w:rPr>
          <w:b/>
          <w:lang w:val="en-GB" w:eastAsia="en-US"/>
        </w:rPr>
      </w:pPr>
    </w:p>
    <w:p w14:paraId="2BA3C3FB" w14:textId="51931ABB" w:rsidR="007A635C" w:rsidRDefault="003D2B9C" w:rsidP="003D2B9C">
      <w:pPr>
        <w:pStyle w:val="Heading2"/>
      </w:pPr>
      <w:r>
        <w:t>3.</w:t>
      </w:r>
      <w:r w:rsidR="000D4414">
        <w:t>7</w:t>
      </w:r>
      <w:r>
        <w:t xml:space="preserve"> Slot format for ECP</w:t>
      </w:r>
    </w:p>
    <w:p w14:paraId="0C904FEA" w14:textId="2C118DE6" w:rsidR="003D2B9C" w:rsidRDefault="003D2B9C" w:rsidP="003D2B9C">
      <w:pPr>
        <w:rPr>
          <w:lang w:val="en-GB" w:eastAsia="en-US"/>
        </w:rPr>
      </w:pPr>
      <w:r>
        <w:rPr>
          <w:lang w:val="en-GB" w:eastAsia="en-US"/>
        </w:rPr>
        <w:t>Currently the slot format table defined in 38.211 considers NCP only. There are 14 columns in the table corresponds to 14 symbols in a slot for NCP case. For 60KHz SCS, ECP is also supported. How to extend the table for ECP case needs further discussion. One possible solution is to define a separate table following the same philosophy of the NCP table. Another possible solution is to use the NCP table directly and re-interpret the entries (say remove two columns) for ECP use case.</w:t>
      </w:r>
    </w:p>
    <w:p w14:paraId="3C27B7EE" w14:textId="77777777" w:rsidR="003D2B9C" w:rsidRDefault="003D2B9C" w:rsidP="003D2B9C">
      <w:pPr>
        <w:rPr>
          <w:lang w:val="en-GB" w:eastAsia="en-US"/>
        </w:rPr>
      </w:pPr>
    </w:p>
    <w:p w14:paraId="341C1787" w14:textId="2C07B797" w:rsidR="003D2B9C" w:rsidRDefault="003D2B9C" w:rsidP="003D2B9C">
      <w:pPr>
        <w:rPr>
          <w:lang w:val="en-GB" w:eastAsia="en-US"/>
        </w:rPr>
      </w:pPr>
      <w:r w:rsidRPr="003D2B9C">
        <w:rPr>
          <w:highlight w:val="yellow"/>
          <w:lang w:val="en-GB" w:eastAsia="en-US"/>
        </w:rPr>
        <w:t>Proposal</w:t>
      </w:r>
      <w:r>
        <w:rPr>
          <w:lang w:val="en-GB" w:eastAsia="en-US"/>
        </w:rPr>
        <w:t xml:space="preserve">: Further discussion on </w:t>
      </w:r>
      <w:r w:rsidR="00571FA5">
        <w:rPr>
          <w:lang w:val="en-GB" w:eastAsia="en-US"/>
        </w:rPr>
        <w:t xml:space="preserve">how to define </w:t>
      </w:r>
      <w:r>
        <w:rPr>
          <w:lang w:val="en-GB" w:eastAsia="en-US"/>
        </w:rPr>
        <w:t>slot format for ECP</w:t>
      </w:r>
    </w:p>
    <w:p w14:paraId="08E35921" w14:textId="77777777" w:rsidR="003D2B9C" w:rsidRPr="003D2B9C" w:rsidRDefault="003D2B9C" w:rsidP="003D2B9C">
      <w:pPr>
        <w:rPr>
          <w:lang w:val="en-GB" w:eastAsia="en-US"/>
        </w:rPr>
      </w:pPr>
    </w:p>
    <w:p w14:paraId="04F3CF98" w14:textId="40E9A741" w:rsidR="007A635C" w:rsidRDefault="00061F06" w:rsidP="00061F06">
      <w:pPr>
        <w:pStyle w:val="Heading2"/>
      </w:pPr>
      <w:r>
        <w:t>3.8 FFS RRC parameters</w:t>
      </w:r>
    </w:p>
    <w:p w14:paraId="36A8F4DF" w14:textId="58F6F513" w:rsidR="00061F06" w:rsidRDefault="00061F06" w:rsidP="00061F06">
      <w:r>
        <w:t xml:space="preserve">In </w:t>
      </w:r>
      <w:r w:rsidRPr="00000A61">
        <w:t>PDCCH-Config</w:t>
      </w:r>
      <w:r>
        <w:t>, we currently have:</w:t>
      </w:r>
    </w:p>
    <w:p w14:paraId="149FBBB0" w14:textId="750C863E" w:rsidR="00061F06" w:rsidRPr="007C2EF6" w:rsidRDefault="00061F06" w:rsidP="00CB2DB1">
      <w:r w:rsidRPr="007C2EF6">
        <w:t>slotFormatIndicator</w:t>
      </w:r>
      <w:r w:rsidRPr="007C2EF6">
        <w:tab/>
      </w:r>
      <w:r w:rsidRPr="007C2EF6">
        <w:tab/>
      </w:r>
      <w:r w:rsidRPr="007C2EF6">
        <w:tab/>
      </w:r>
      <w:r w:rsidRPr="007C2EF6">
        <w:tab/>
      </w:r>
      <w:r w:rsidRPr="007C2EF6">
        <w:tab/>
      </w:r>
      <w:r w:rsidRPr="007C2EF6">
        <w:tab/>
        <w:t>SlotFormatIndicator</w:t>
      </w:r>
      <w:r w:rsidRPr="007C2EF6">
        <w:tab/>
      </w:r>
      <w:r w:rsidRPr="007C2EF6">
        <w:tab/>
      </w:r>
      <w:r w:rsidRPr="007C2EF6">
        <w:tab/>
      </w:r>
      <w:r w:rsidRPr="007C2EF6">
        <w:tab/>
      </w:r>
      <w:r w:rsidRPr="007C2EF6">
        <w:tab/>
      </w:r>
      <w:r w:rsidRPr="007C2EF6">
        <w:tab/>
      </w:r>
      <w:r w:rsidRPr="007C2EF6">
        <w:tab/>
      </w:r>
      <w:r w:rsidRPr="007C2EF6">
        <w:rPr>
          <w:color w:val="993366"/>
        </w:rPr>
        <w:t>OPTIONAL</w:t>
      </w:r>
    </w:p>
    <w:p w14:paraId="5EC23411" w14:textId="048543A1" w:rsidR="00061F06" w:rsidRPr="007C2EF6" w:rsidRDefault="00061F06" w:rsidP="00061F06">
      <w:pPr>
        <w:rPr>
          <w:lang w:val="en-GB" w:eastAsia="en-US"/>
        </w:rPr>
      </w:pPr>
      <w:r w:rsidRPr="007C2EF6">
        <w:rPr>
          <w:lang w:val="en-GB" w:eastAsia="en-US"/>
        </w:rPr>
        <w:t>Question: Do we still need this? The SFI SS configuration is now part of the common search space configuration.</w:t>
      </w:r>
    </w:p>
    <w:p w14:paraId="07802799" w14:textId="0E371B09" w:rsidR="00061F06" w:rsidRPr="007C2EF6" w:rsidRDefault="00061F06" w:rsidP="00061F06">
      <w:r w:rsidRPr="007C2EF6">
        <w:rPr>
          <w:lang w:val="en-GB" w:eastAsia="en-US"/>
        </w:rPr>
        <w:t xml:space="preserve">Proposal: Remove </w:t>
      </w:r>
      <w:r w:rsidR="00311A19" w:rsidRPr="007C2EF6">
        <w:rPr>
          <w:lang w:val="en-GB" w:eastAsia="en-US"/>
        </w:rPr>
        <w:t>variable slotFormatIndicator</w:t>
      </w:r>
      <w:r w:rsidRPr="007C2EF6">
        <w:rPr>
          <w:lang w:val="en-GB" w:eastAsia="en-US"/>
        </w:rPr>
        <w:t xml:space="preserve"> from </w:t>
      </w:r>
      <w:r w:rsidRPr="007C2EF6">
        <w:t>PDCCH-Config</w:t>
      </w:r>
      <w:r w:rsidR="008E19C8" w:rsidRPr="007C2EF6">
        <w:t xml:space="preserve"> or from 331</w:t>
      </w:r>
    </w:p>
    <w:p w14:paraId="7314E496" w14:textId="032FC5A6" w:rsidR="008E19C8" w:rsidRPr="007C2EF6" w:rsidRDefault="008E19C8" w:rsidP="00061F06">
      <w:r w:rsidRPr="007C2EF6">
        <w:t>Proposal: subcarrierSpacing and subcarrierSpacing2 currently in SlotFormatCombination should be moved to SlotFormatCombinationsPerCell</w:t>
      </w:r>
    </w:p>
    <w:p w14:paraId="2AEB0A8D" w14:textId="45D9AA02" w:rsidR="00CB2DB1" w:rsidRPr="007C2EF6" w:rsidRDefault="00CB2DB1" w:rsidP="00061F06">
      <w:pPr>
        <w:rPr>
          <w:lang w:val="en-GB" w:eastAsia="en-US"/>
        </w:rPr>
      </w:pPr>
    </w:p>
    <w:p w14:paraId="4A5BE0C6" w14:textId="313AAE4D" w:rsidR="00CB2DB1" w:rsidRPr="007C2EF6" w:rsidRDefault="00CB2DB1" w:rsidP="00061F06">
      <w:r w:rsidRPr="007C2EF6">
        <w:t>maxNrofAggregatedCellsPerCellGroup</w:t>
      </w:r>
    </w:p>
    <w:p w14:paraId="333D979A" w14:textId="5BE76B9B" w:rsidR="00CB2DB1" w:rsidRPr="007C2EF6" w:rsidRDefault="00CB2DB1" w:rsidP="00061F06">
      <w:pPr>
        <w:rPr>
          <w:lang w:val="en-GB" w:eastAsia="en-US"/>
        </w:rPr>
      </w:pPr>
      <w:r w:rsidRPr="007C2EF6">
        <w:rPr>
          <w:lang w:val="en-GB" w:eastAsia="en-US"/>
        </w:rPr>
        <w:t>Max number of SlotFormatCombinationsPerCell can be carried in a GC-PDCCH. The name is misleading. One GC-PDCCH can carry SFI for another cell. So using max number of cells in a cell group to limit the size may not be necessary. Can replace with a generic upper bound.</w:t>
      </w:r>
    </w:p>
    <w:p w14:paraId="5817F911" w14:textId="1E17FBD9" w:rsidR="00CB2DB1" w:rsidRPr="007C2EF6" w:rsidRDefault="00CB2DB1" w:rsidP="00061F06">
      <w:pPr>
        <w:rPr>
          <w:lang w:val="en-GB" w:eastAsia="en-US"/>
        </w:rPr>
      </w:pPr>
      <w:r w:rsidRPr="007C2EF6">
        <w:rPr>
          <w:lang w:val="en-GB" w:eastAsia="en-US"/>
        </w:rPr>
        <w:t xml:space="preserve">Proposal: </w:t>
      </w:r>
      <w:r w:rsidR="00D75AAC" w:rsidRPr="007C2EF6">
        <w:rPr>
          <w:lang w:val="en-GB" w:eastAsia="en-US"/>
        </w:rPr>
        <w:t>Recommend to c</w:t>
      </w:r>
      <w:r w:rsidRPr="007C2EF6">
        <w:rPr>
          <w:lang w:val="en-GB" w:eastAsia="en-US"/>
        </w:rPr>
        <w:t>hange the variable name to maxNrofSlotFormatCombinationsPerCell. Suggest a value of 16</w:t>
      </w:r>
    </w:p>
    <w:p w14:paraId="25B61883" w14:textId="169200E5" w:rsidR="00CB2DB1" w:rsidRPr="007C2EF6" w:rsidRDefault="00CB2DB1" w:rsidP="00061F06">
      <w:pPr>
        <w:rPr>
          <w:lang w:val="en-GB" w:eastAsia="en-US"/>
        </w:rPr>
      </w:pPr>
    </w:p>
    <w:p w14:paraId="491A9110" w14:textId="77777777" w:rsidR="007047FD" w:rsidRPr="007C2EF6" w:rsidRDefault="00CB2DB1" w:rsidP="00CB2DB1">
      <w:r w:rsidRPr="007C2EF6">
        <w:t>maxNrofSlotFormatCombinationsPerSet is the number of entries in the UE-specific table</w:t>
      </w:r>
      <w:r w:rsidR="007047FD" w:rsidRPr="007C2EF6">
        <w:t xml:space="preserve">. </w:t>
      </w:r>
    </w:p>
    <w:p w14:paraId="390EA9D2" w14:textId="4C7A3B75" w:rsidR="00CB2DB1" w:rsidRPr="007C2EF6" w:rsidRDefault="007047FD" w:rsidP="00CB2DB1">
      <w:r w:rsidRPr="007C2EF6">
        <w:t xml:space="preserve">Proposal: Suggest a value of </w:t>
      </w:r>
      <w:r w:rsidR="00C44B4C" w:rsidRPr="007C2EF6">
        <w:t>4096</w:t>
      </w:r>
      <w:r w:rsidRPr="007C2EF6">
        <w:t xml:space="preserve">, with a maximum </w:t>
      </w:r>
      <w:r w:rsidR="00C44B4C" w:rsidRPr="007C2EF6">
        <w:t>12</w:t>
      </w:r>
      <w:r w:rsidRPr="007C2EF6">
        <w:t xml:space="preserve"> bits SFI field to indicate that.</w:t>
      </w:r>
    </w:p>
    <w:p w14:paraId="761B1905" w14:textId="77777777" w:rsidR="007047FD" w:rsidRPr="007C2EF6" w:rsidRDefault="007047FD" w:rsidP="00CB2DB1">
      <w:pPr>
        <w:rPr>
          <w:color w:val="808080"/>
        </w:rPr>
      </w:pPr>
    </w:p>
    <w:p w14:paraId="3145590B" w14:textId="77777777" w:rsidR="007047FD" w:rsidRPr="007C2EF6" w:rsidRDefault="00CB2DB1" w:rsidP="00061F06">
      <w:r w:rsidRPr="007C2EF6">
        <w:t>maxNrofSlotFormatsPerCombination is the number of slots in each entry of the UE-specific table. Note the length should cover</w:t>
      </w:r>
      <w:r w:rsidR="007047FD" w:rsidRPr="007C2EF6">
        <w:t xml:space="preserve"> the FDD cases with different reference SCS for UL and DL.</w:t>
      </w:r>
    </w:p>
    <w:p w14:paraId="7A390603" w14:textId="5D8576B3" w:rsidR="00CB2DB1" w:rsidRPr="007C2EF6" w:rsidRDefault="007047FD" w:rsidP="00061F06">
      <w:r w:rsidRPr="007C2EF6">
        <w:t>Proposal: Suggest a value of 256.</w:t>
      </w:r>
    </w:p>
    <w:p w14:paraId="6427A40A" w14:textId="670E5D17" w:rsidR="007047FD" w:rsidRPr="007C2EF6" w:rsidRDefault="007047FD" w:rsidP="00061F06">
      <w:pPr>
        <w:rPr>
          <w:lang w:eastAsia="en-US"/>
        </w:rPr>
      </w:pPr>
    </w:p>
    <w:p w14:paraId="2D162BD3" w14:textId="3DCB3C2E" w:rsidR="007047FD" w:rsidRPr="007C2EF6" w:rsidRDefault="007047FD" w:rsidP="00061F06">
      <w:r w:rsidRPr="007C2EF6">
        <w:t>maxSFI-DCI-PayloadSize is the maximum configurable payload size for format 2_0</w:t>
      </w:r>
    </w:p>
    <w:p w14:paraId="38D07858" w14:textId="407A5674" w:rsidR="007047FD" w:rsidRPr="007C2EF6" w:rsidRDefault="007047FD" w:rsidP="00061F06">
      <w:pPr>
        <w:rPr>
          <w:lang w:eastAsia="en-US"/>
        </w:rPr>
      </w:pPr>
      <w:r w:rsidRPr="007C2EF6">
        <w:rPr>
          <w:lang w:eastAsia="en-US"/>
        </w:rPr>
        <w:t>Proposal: Suggest a value of 128.</w:t>
      </w:r>
    </w:p>
    <w:p w14:paraId="3053879E" w14:textId="681029D5" w:rsidR="00A92E76" w:rsidRPr="007C2EF6" w:rsidRDefault="00A92E76" w:rsidP="00061F06">
      <w:pPr>
        <w:rPr>
          <w:lang w:eastAsia="en-US"/>
        </w:rPr>
      </w:pPr>
    </w:p>
    <w:p w14:paraId="4F21B083" w14:textId="15CD6390" w:rsidR="00A92E76" w:rsidRPr="007C2EF6" w:rsidRDefault="00A92E76" w:rsidP="00061F06">
      <w:pPr>
        <w:rPr>
          <w:lang w:eastAsia="en-US"/>
        </w:rPr>
      </w:pPr>
      <w:r w:rsidRPr="007C2EF6">
        <w:rPr>
          <w:lang w:eastAsia="en-US"/>
        </w:rPr>
        <w:t xml:space="preserve">For cell-specific DL/UL assignment, we have </w:t>
      </w:r>
      <w:r w:rsidRPr="007C2EF6">
        <w:t>tdd-UL-DL-ConfigurationCommon and tdd-UL-DL-ConfigurationCommon2</w:t>
      </w:r>
    </w:p>
    <w:p w14:paraId="4E04B572" w14:textId="77777777" w:rsidR="00A92E76" w:rsidRPr="007C2EF6" w:rsidRDefault="00A92E76" w:rsidP="00A92E76">
      <w:pPr>
        <w:pStyle w:val="PL"/>
        <w:rPr>
          <w:color w:val="808080"/>
        </w:rPr>
      </w:pPr>
      <w:r w:rsidRPr="007C2EF6">
        <w:tab/>
      </w:r>
      <w:r w:rsidRPr="007C2EF6">
        <w:rPr>
          <w:color w:val="808080"/>
        </w:rPr>
        <w:t xml:space="preserve">-- A cell-specific TDD UL/DL configuration. </w:t>
      </w:r>
    </w:p>
    <w:p w14:paraId="25B1B4FA" w14:textId="6E1699A8" w:rsidR="00A92E76" w:rsidRPr="007C2EF6" w:rsidRDefault="00A92E76" w:rsidP="00A92E76">
      <w:pPr>
        <w:pStyle w:val="PL"/>
        <w:rPr>
          <w:color w:val="808080"/>
        </w:rPr>
      </w:pPr>
      <w:r w:rsidRPr="007C2EF6">
        <w:tab/>
        <w:t>tdd-UL-DL-ConfigurationCommon</w:t>
      </w:r>
      <w:r w:rsidRPr="007C2EF6">
        <w:tab/>
      </w:r>
      <w:r w:rsidRPr="007C2EF6">
        <w:tab/>
        <w:t>TDD-UL-DL-ConfigCommon</w:t>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rPr>
          <w:color w:val="993366"/>
        </w:rPr>
        <w:t>OPTIONAL</w:t>
      </w:r>
      <w:r w:rsidRPr="007C2EF6">
        <w:t xml:space="preserve">, </w:t>
      </w:r>
      <w:r w:rsidRPr="007C2EF6">
        <w:rPr>
          <w:color w:val="808080"/>
        </w:rPr>
        <w:t>-- Cond TDD</w:t>
      </w:r>
    </w:p>
    <w:p w14:paraId="2D789724" w14:textId="77777777" w:rsidR="00A92E76" w:rsidRPr="007C2EF6" w:rsidRDefault="00A92E76" w:rsidP="00A92E76">
      <w:pPr>
        <w:pStyle w:val="PL"/>
        <w:rPr>
          <w:color w:val="808080"/>
        </w:rPr>
      </w:pPr>
      <w:r w:rsidRPr="007C2EF6">
        <w:tab/>
      </w:r>
      <w:r w:rsidRPr="007C2EF6">
        <w:rPr>
          <w:color w:val="808080"/>
        </w:rPr>
        <w:t xml:space="preserve">-- A second cell-specific TDD UL/DL configuration. </w:t>
      </w:r>
    </w:p>
    <w:p w14:paraId="064AFC06" w14:textId="77777777" w:rsidR="00A92E76" w:rsidRPr="007C2EF6" w:rsidRDefault="00A92E76" w:rsidP="00A92E76">
      <w:pPr>
        <w:pStyle w:val="PL"/>
        <w:rPr>
          <w:color w:val="808080"/>
        </w:rPr>
      </w:pPr>
      <w:r w:rsidRPr="007C2EF6">
        <w:tab/>
      </w:r>
      <w:r w:rsidRPr="007C2EF6">
        <w:rPr>
          <w:color w:val="808080"/>
        </w:rPr>
        <w:t xml:space="preserve">-- FFS_CHECK: What does the UE do with two? Which one applies? A union of both? If so, how? </w:t>
      </w:r>
    </w:p>
    <w:p w14:paraId="05B331A6" w14:textId="7411AAB4" w:rsidR="00A92E76" w:rsidRPr="007C2EF6" w:rsidRDefault="00A92E76" w:rsidP="00A92E76">
      <w:pPr>
        <w:pStyle w:val="PL"/>
        <w:rPr>
          <w:color w:val="808080"/>
        </w:rPr>
      </w:pPr>
      <w:r w:rsidRPr="007C2EF6">
        <w:tab/>
        <w:t>tdd-UL-DL-ConfigurationCommon2</w:t>
      </w:r>
      <w:r w:rsidRPr="007C2EF6">
        <w:tab/>
      </w:r>
      <w:r w:rsidRPr="007C2EF6">
        <w:tab/>
        <w:t>TDD-UL-DL-ConfigCommon</w:t>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tab/>
      </w:r>
      <w:r w:rsidRPr="007C2EF6">
        <w:rPr>
          <w:color w:val="993366"/>
        </w:rPr>
        <w:t>OPTIONAL</w:t>
      </w:r>
      <w:r w:rsidRPr="007C2EF6">
        <w:t xml:space="preserve">, </w:t>
      </w:r>
      <w:r w:rsidRPr="007C2EF6">
        <w:rPr>
          <w:color w:val="808080"/>
        </w:rPr>
        <w:t>-- Cond TDD</w:t>
      </w:r>
    </w:p>
    <w:p w14:paraId="46845B03" w14:textId="77777777" w:rsidR="00A92E76" w:rsidRPr="007C2EF6" w:rsidRDefault="00A92E76" w:rsidP="00A92E76">
      <w:pPr>
        <w:pStyle w:val="PL"/>
      </w:pPr>
    </w:p>
    <w:p w14:paraId="1B3D7DDF" w14:textId="645558A2" w:rsidR="00A92E76" w:rsidRDefault="00A92E76" w:rsidP="00061F06">
      <w:r w:rsidRPr="007C2EF6">
        <w:rPr>
          <w:lang w:eastAsia="en-US"/>
        </w:rPr>
        <w:t xml:space="preserve">Proposal: Clarify that when </w:t>
      </w:r>
      <w:r w:rsidRPr="007C2EF6">
        <w:t>tdd-UL-DL-ConfigurationCommon2 is configured, the cell specific DL/UL pattern is a concatenation of the pattern specified in tdd-UL-DL-ConfigurationCommon and the pattern specified in tdd-UL-DL-ConfigurationCommon2</w:t>
      </w:r>
      <w:r>
        <w:t xml:space="preserve">, with the pattern specified in </w:t>
      </w:r>
      <w:r w:rsidRPr="00000A61">
        <w:t>tdd-UL-DL-</w:t>
      </w:r>
      <w:r>
        <w:t>C</w:t>
      </w:r>
      <w:r w:rsidRPr="00000A61">
        <w:t>onfigurationCommon</w:t>
      </w:r>
      <w:r>
        <w:t xml:space="preserve"> in the front.</w:t>
      </w:r>
    </w:p>
    <w:p w14:paraId="39362CEC" w14:textId="1201C780" w:rsidR="007C2EF6" w:rsidRDefault="007C2EF6" w:rsidP="00061F06">
      <w:pPr>
        <w:rPr>
          <w:lang w:eastAsia="en-US"/>
        </w:rPr>
      </w:pPr>
    </w:p>
    <w:p w14:paraId="694F3B6F" w14:textId="6FC87993" w:rsidR="007C2EF6" w:rsidRDefault="007C2EF6" w:rsidP="007C2EF6">
      <w:pPr>
        <w:pStyle w:val="Heading1"/>
      </w:pPr>
      <w:r>
        <w:t>4</w:t>
      </w:r>
      <w:r>
        <w:tab/>
        <w:t>Proposals for online</w:t>
      </w:r>
    </w:p>
    <w:p w14:paraId="78ECFEB3" w14:textId="5BBA1D74" w:rsidR="007C2EF6" w:rsidRDefault="007C2EF6" w:rsidP="007C2EF6">
      <w:pPr>
        <w:rPr>
          <w:lang w:val="en-GB" w:eastAsia="en-US"/>
        </w:rPr>
      </w:pPr>
    </w:p>
    <w:p w14:paraId="0E08C1FC" w14:textId="345A0981" w:rsidR="007C2EF6" w:rsidRPr="007C2EF6" w:rsidRDefault="007C2EF6" w:rsidP="007C2EF6">
      <w:pPr>
        <w:rPr>
          <w:u w:val="single"/>
          <w:lang w:val="en-GB" w:eastAsia="en-US"/>
        </w:rPr>
      </w:pPr>
      <w:r w:rsidRPr="007C2EF6">
        <w:rPr>
          <w:u w:val="single"/>
          <w:lang w:val="en-GB" w:eastAsia="en-US"/>
        </w:rPr>
        <w:t>For RRC signalling:</w:t>
      </w:r>
    </w:p>
    <w:p w14:paraId="5C91B994" w14:textId="77777777" w:rsidR="007C2EF6" w:rsidRDefault="007C2EF6" w:rsidP="007C2EF6">
      <w:r>
        <w:t xml:space="preserve">In </w:t>
      </w:r>
      <w:r w:rsidRPr="00000A61">
        <w:t>PDCCH-Config</w:t>
      </w:r>
      <w:r>
        <w:t>, we currently have:</w:t>
      </w:r>
    </w:p>
    <w:p w14:paraId="5D895B19" w14:textId="77777777" w:rsidR="007C2EF6" w:rsidRPr="00000A61" w:rsidRDefault="007C2EF6" w:rsidP="007C2EF6">
      <w:r>
        <w:t>slotFormatIndicator</w:t>
      </w:r>
      <w:r>
        <w:tab/>
      </w:r>
      <w:r>
        <w:tab/>
      </w:r>
      <w:r>
        <w:tab/>
      </w:r>
      <w:r>
        <w:tab/>
      </w:r>
      <w:r>
        <w:tab/>
      </w:r>
      <w:r>
        <w:tab/>
        <w:t>S</w:t>
      </w:r>
      <w:r w:rsidRPr="00353514">
        <w:t>lotFormatIndicato</w:t>
      </w:r>
      <w:r>
        <w:t>r</w:t>
      </w:r>
      <w:r>
        <w:tab/>
      </w:r>
      <w:r>
        <w:tab/>
      </w:r>
      <w:r>
        <w:tab/>
      </w:r>
      <w:r>
        <w:tab/>
      </w:r>
      <w:r>
        <w:tab/>
      </w:r>
      <w:r>
        <w:tab/>
      </w:r>
      <w:r>
        <w:tab/>
      </w:r>
      <w:r w:rsidRPr="00D02B97">
        <w:rPr>
          <w:color w:val="993366"/>
        </w:rPr>
        <w:t>OPTIONAL</w:t>
      </w:r>
    </w:p>
    <w:p w14:paraId="7978C357" w14:textId="77777777" w:rsidR="007C2EF6" w:rsidRDefault="007C2EF6" w:rsidP="007C2EF6">
      <w:pPr>
        <w:rPr>
          <w:lang w:val="en-GB" w:eastAsia="en-US"/>
        </w:rPr>
      </w:pPr>
      <w:r>
        <w:rPr>
          <w:lang w:val="en-GB" w:eastAsia="en-US"/>
        </w:rPr>
        <w:t>Question: Do we still need this? The SFI SS configuration is now part of the common search space configuration.</w:t>
      </w:r>
    </w:p>
    <w:p w14:paraId="28EAEB13" w14:textId="77777777" w:rsidR="007C2EF6" w:rsidRDefault="007C2EF6" w:rsidP="007C2EF6">
      <w:r w:rsidRPr="008E19C8">
        <w:rPr>
          <w:highlight w:val="cyan"/>
          <w:lang w:val="en-GB" w:eastAsia="en-US"/>
        </w:rPr>
        <w:t>Proposal</w:t>
      </w:r>
      <w:r>
        <w:rPr>
          <w:lang w:val="en-GB" w:eastAsia="en-US"/>
        </w:rPr>
        <w:t xml:space="preserve">: Remove variable slotFormatIndicator from </w:t>
      </w:r>
      <w:r w:rsidRPr="00000A61">
        <w:t>PDCCH-Config</w:t>
      </w:r>
      <w:r>
        <w:t xml:space="preserve"> or from 331</w:t>
      </w:r>
    </w:p>
    <w:p w14:paraId="57490527" w14:textId="77777777" w:rsidR="007C2EF6" w:rsidRDefault="007C2EF6" w:rsidP="007C2EF6">
      <w:r w:rsidRPr="008E19C8">
        <w:rPr>
          <w:highlight w:val="cyan"/>
        </w:rPr>
        <w:t>Proposal</w:t>
      </w:r>
      <w:r>
        <w:t xml:space="preserve">: subcarrierSpacing and subcarrierSpacing2 currently in </w:t>
      </w:r>
      <w:r w:rsidRPr="00000A61">
        <w:t>SlotFormatCombination</w:t>
      </w:r>
      <w:r>
        <w:t xml:space="preserve"> should be moved to </w:t>
      </w:r>
      <w:r w:rsidRPr="007517E2">
        <w:t>SlotFormatCombinationsPerCell</w:t>
      </w:r>
    </w:p>
    <w:p w14:paraId="27578D6D" w14:textId="77777777" w:rsidR="007C2EF6" w:rsidRDefault="007C2EF6" w:rsidP="007C2EF6">
      <w:pPr>
        <w:rPr>
          <w:lang w:val="en-GB" w:eastAsia="en-US"/>
        </w:rPr>
      </w:pPr>
    </w:p>
    <w:p w14:paraId="64D9436C" w14:textId="77777777" w:rsidR="007C2EF6" w:rsidRDefault="007C2EF6" w:rsidP="007C2EF6">
      <w:r w:rsidRPr="00000A61">
        <w:t>maxNrofAggregatedCellsPerCellGroup</w:t>
      </w:r>
    </w:p>
    <w:p w14:paraId="7DFC623E" w14:textId="77777777" w:rsidR="007C2EF6" w:rsidRDefault="007C2EF6" w:rsidP="007C2EF6">
      <w:pPr>
        <w:rPr>
          <w:lang w:val="en-GB" w:eastAsia="en-US"/>
        </w:rPr>
      </w:pPr>
      <w:r>
        <w:rPr>
          <w:lang w:val="en-GB" w:eastAsia="en-US"/>
        </w:rPr>
        <w:t xml:space="preserve">Max number of </w:t>
      </w:r>
      <w:r w:rsidRPr="00CB2DB1">
        <w:rPr>
          <w:lang w:val="en-GB" w:eastAsia="en-US"/>
        </w:rPr>
        <w:t xml:space="preserve">SlotFormatCombinationsPerCell </w:t>
      </w:r>
      <w:r>
        <w:rPr>
          <w:lang w:val="en-GB" w:eastAsia="en-US"/>
        </w:rPr>
        <w:t>can be carried in a GC-PDCCH. The name is misleading. One GC-PDCCH can carry SFI for another cell. So using max number of cells in a cell group to limit the size may not be necessary. Can replace with a generic upper bound.</w:t>
      </w:r>
    </w:p>
    <w:p w14:paraId="5651E6D3" w14:textId="6684C27C" w:rsidR="007C2EF6" w:rsidRDefault="007C2EF6" w:rsidP="007C2EF6">
      <w:pPr>
        <w:rPr>
          <w:lang w:val="en-GB" w:eastAsia="en-US"/>
        </w:rPr>
      </w:pPr>
      <w:r w:rsidRPr="00C44B4C">
        <w:rPr>
          <w:highlight w:val="cyan"/>
          <w:lang w:val="en-GB" w:eastAsia="en-US"/>
        </w:rPr>
        <w:t>Proposal</w:t>
      </w:r>
      <w:r>
        <w:rPr>
          <w:lang w:val="en-GB" w:eastAsia="en-US"/>
        </w:rPr>
        <w:t xml:space="preserve">: Recommend to change the variable name to maxNrofSlotFormatCombinationsPerCell. </w:t>
      </w:r>
      <w:r>
        <w:rPr>
          <w:lang w:val="en-GB" w:eastAsia="en-US"/>
        </w:rPr>
        <w:t>Use</w:t>
      </w:r>
      <w:r>
        <w:rPr>
          <w:lang w:val="en-GB" w:eastAsia="en-US"/>
        </w:rPr>
        <w:t xml:space="preserve"> a value of 16</w:t>
      </w:r>
    </w:p>
    <w:p w14:paraId="1F1101B3" w14:textId="77777777" w:rsidR="007C2EF6" w:rsidRDefault="007C2EF6" w:rsidP="007C2EF6">
      <w:pPr>
        <w:rPr>
          <w:lang w:val="en-GB" w:eastAsia="en-US"/>
        </w:rPr>
      </w:pPr>
    </w:p>
    <w:p w14:paraId="6A7AE9B8" w14:textId="77777777" w:rsidR="007C2EF6" w:rsidRDefault="007C2EF6" w:rsidP="007C2EF6">
      <w:r w:rsidRPr="00FB1CB2">
        <w:t>maxNrofSlotFormatCombinations</w:t>
      </w:r>
      <w:r>
        <w:t xml:space="preserve">PerSet is the number of entries in the UE-specific table. </w:t>
      </w:r>
    </w:p>
    <w:p w14:paraId="086532CE" w14:textId="69AE24A2" w:rsidR="007C2EF6" w:rsidRDefault="007C2EF6" w:rsidP="007C2EF6">
      <w:r w:rsidRPr="00C44B4C">
        <w:rPr>
          <w:highlight w:val="cyan"/>
        </w:rPr>
        <w:t>Proposal</w:t>
      </w:r>
      <w:r>
        <w:t xml:space="preserve">: </w:t>
      </w:r>
      <w:r>
        <w:t>Use</w:t>
      </w:r>
      <w:r>
        <w:t xml:space="preserve"> a value of 4096, </w:t>
      </w:r>
      <w:r>
        <w:t xml:space="preserve">implies </w:t>
      </w:r>
      <w:r>
        <w:t>a maximum 12 bits SFI field.</w:t>
      </w:r>
    </w:p>
    <w:p w14:paraId="2D5ABF16" w14:textId="77777777" w:rsidR="007C2EF6" w:rsidRPr="00D02B97" w:rsidRDefault="007C2EF6" w:rsidP="007C2EF6">
      <w:pPr>
        <w:rPr>
          <w:color w:val="808080"/>
        </w:rPr>
      </w:pPr>
    </w:p>
    <w:p w14:paraId="0D6175F4" w14:textId="77777777" w:rsidR="007C2EF6" w:rsidRDefault="007C2EF6" w:rsidP="007C2EF6">
      <w:r w:rsidRPr="00000A61">
        <w:t>maxNrofSlotFormatsPerCombination</w:t>
      </w:r>
      <w:r>
        <w:t xml:space="preserve"> is the number of slots in each entry of the UE-specific table. Note the length should cover the FDD cases with different reference SCS for UL and DL.</w:t>
      </w:r>
    </w:p>
    <w:p w14:paraId="6EF6C5A3" w14:textId="008ECF47" w:rsidR="007C2EF6" w:rsidRDefault="007C2EF6" w:rsidP="007C2EF6">
      <w:r w:rsidRPr="000F1D13">
        <w:rPr>
          <w:highlight w:val="cyan"/>
        </w:rPr>
        <w:t>Proposal</w:t>
      </w:r>
      <w:r>
        <w:t xml:space="preserve">: </w:t>
      </w:r>
      <w:r>
        <w:t>Use</w:t>
      </w:r>
      <w:r>
        <w:t xml:space="preserve"> a value of 256.</w:t>
      </w:r>
    </w:p>
    <w:p w14:paraId="0C0900AB" w14:textId="77777777" w:rsidR="007C2EF6" w:rsidRDefault="007C2EF6" w:rsidP="007C2EF6">
      <w:pPr>
        <w:rPr>
          <w:lang w:eastAsia="en-US"/>
        </w:rPr>
      </w:pPr>
    </w:p>
    <w:p w14:paraId="506B5CBD" w14:textId="77777777" w:rsidR="007C2EF6" w:rsidRDefault="007C2EF6" w:rsidP="007C2EF6">
      <w:r>
        <w:t>maxSFI-DCI-PayloadSize is the maximum configurable payload size for format 2_0</w:t>
      </w:r>
    </w:p>
    <w:p w14:paraId="41D1967A" w14:textId="0EC50098" w:rsidR="007C2EF6" w:rsidRDefault="007C2EF6" w:rsidP="007C2EF6">
      <w:pPr>
        <w:rPr>
          <w:lang w:eastAsia="en-US"/>
        </w:rPr>
      </w:pPr>
      <w:r w:rsidRPr="00D75AAC">
        <w:rPr>
          <w:highlight w:val="cyan"/>
          <w:lang w:eastAsia="en-US"/>
        </w:rPr>
        <w:t>Proposal</w:t>
      </w:r>
      <w:r>
        <w:rPr>
          <w:lang w:eastAsia="en-US"/>
        </w:rPr>
        <w:t xml:space="preserve">: </w:t>
      </w:r>
      <w:r>
        <w:rPr>
          <w:lang w:eastAsia="en-US"/>
        </w:rPr>
        <w:t>Use</w:t>
      </w:r>
      <w:r>
        <w:rPr>
          <w:lang w:eastAsia="en-US"/>
        </w:rPr>
        <w:t xml:space="preserve"> a value of 128.</w:t>
      </w:r>
    </w:p>
    <w:p w14:paraId="20869BAA" w14:textId="77777777" w:rsidR="007C2EF6" w:rsidRDefault="007C2EF6" w:rsidP="007C2EF6">
      <w:pPr>
        <w:rPr>
          <w:lang w:eastAsia="en-US"/>
        </w:rPr>
      </w:pPr>
    </w:p>
    <w:p w14:paraId="670E9E53" w14:textId="77777777" w:rsidR="007C2EF6" w:rsidRDefault="007C2EF6" w:rsidP="007C2EF6">
      <w:pPr>
        <w:rPr>
          <w:lang w:eastAsia="en-US"/>
        </w:rPr>
      </w:pPr>
      <w:r>
        <w:rPr>
          <w:lang w:eastAsia="en-US"/>
        </w:rPr>
        <w:t xml:space="preserve">For cell-specific DL/UL assignment, we have </w:t>
      </w:r>
      <w:r w:rsidRPr="00000A61">
        <w:t>tdd-UL-DL-</w:t>
      </w:r>
      <w:r>
        <w:t>C</w:t>
      </w:r>
      <w:r w:rsidRPr="00000A61">
        <w:t>onfigurationCommon</w:t>
      </w:r>
      <w:r>
        <w:t xml:space="preserve"> and </w:t>
      </w:r>
      <w:r w:rsidRPr="00000A61">
        <w:t>tdd-UL-DL-</w:t>
      </w:r>
      <w:r>
        <w:t>C</w:t>
      </w:r>
      <w:r w:rsidRPr="00000A61">
        <w:t>onfigurationCommon</w:t>
      </w:r>
      <w:r>
        <w:t>2</w:t>
      </w:r>
    </w:p>
    <w:p w14:paraId="36DCC0A0" w14:textId="77777777" w:rsidR="007C2EF6" w:rsidRPr="00D02B97" w:rsidRDefault="007C2EF6" w:rsidP="007C2EF6">
      <w:pPr>
        <w:pStyle w:val="PL"/>
        <w:rPr>
          <w:color w:val="808080"/>
        </w:rPr>
      </w:pPr>
      <w:r>
        <w:tab/>
      </w:r>
      <w:r w:rsidRPr="00D02B97">
        <w:rPr>
          <w:color w:val="808080"/>
        </w:rPr>
        <w:t xml:space="preserve">-- A cell-specific TDD UL/DL configuration. </w:t>
      </w:r>
    </w:p>
    <w:p w14:paraId="4DD6983C" w14:textId="77777777" w:rsidR="007C2EF6" w:rsidRPr="00D02B97" w:rsidRDefault="007C2EF6" w:rsidP="007C2EF6">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C9B1508" w14:textId="77777777" w:rsidR="007C2EF6" w:rsidRPr="00D02B97" w:rsidRDefault="007C2EF6" w:rsidP="007C2EF6">
      <w:pPr>
        <w:pStyle w:val="PL"/>
        <w:rPr>
          <w:color w:val="808080"/>
        </w:rPr>
      </w:pPr>
      <w:r>
        <w:tab/>
      </w:r>
      <w:r w:rsidRPr="00D02B97">
        <w:rPr>
          <w:color w:val="808080"/>
        </w:rPr>
        <w:t xml:space="preserve">-- A second cell-specific TDD UL/DL configuration. </w:t>
      </w:r>
    </w:p>
    <w:p w14:paraId="2482A894" w14:textId="77777777" w:rsidR="007C2EF6" w:rsidRPr="00D02B97" w:rsidRDefault="007C2EF6" w:rsidP="007C2EF6">
      <w:pPr>
        <w:pStyle w:val="PL"/>
        <w:rPr>
          <w:color w:val="808080"/>
        </w:rPr>
      </w:pPr>
      <w:r>
        <w:tab/>
      </w:r>
      <w:r w:rsidRPr="00D02B97">
        <w:rPr>
          <w:color w:val="808080"/>
        </w:rPr>
        <w:t xml:space="preserve">-- FFS_CHECK: What does the UE do with two? Which one applies? A union of both? If so, how? </w:t>
      </w:r>
    </w:p>
    <w:p w14:paraId="4389F2FB" w14:textId="77777777" w:rsidR="007C2EF6" w:rsidRPr="00D02B97" w:rsidRDefault="007C2EF6" w:rsidP="007C2EF6">
      <w:pPr>
        <w:pStyle w:val="PL"/>
        <w:rPr>
          <w:color w:val="808080"/>
        </w:rPr>
      </w:pP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1E3B7063" w14:textId="77777777" w:rsidR="007C2EF6" w:rsidRPr="00000A61" w:rsidRDefault="007C2EF6" w:rsidP="007C2EF6">
      <w:pPr>
        <w:pStyle w:val="PL"/>
      </w:pPr>
    </w:p>
    <w:p w14:paraId="69533A56" w14:textId="6FA62A59" w:rsidR="007C2EF6" w:rsidRDefault="007C2EF6" w:rsidP="007C2EF6">
      <w:r w:rsidRPr="00A92E76">
        <w:rPr>
          <w:highlight w:val="cyan"/>
          <w:lang w:eastAsia="en-US"/>
        </w:rPr>
        <w:t>Proposal</w:t>
      </w:r>
      <w:r>
        <w:rPr>
          <w:lang w:eastAsia="en-US"/>
        </w:rPr>
        <w:t xml:space="preserve">: Clarify that when </w:t>
      </w:r>
      <w:r w:rsidRPr="00000A61">
        <w:t>tdd-UL-DL-</w:t>
      </w:r>
      <w:r>
        <w:t>C</w:t>
      </w:r>
      <w:r w:rsidRPr="00000A61">
        <w:t>onfigurationCommon</w:t>
      </w:r>
      <w:r>
        <w:t xml:space="preserve">2 is configured, the cell specific DL/UL pattern is a concatenation of the pattern specified in </w:t>
      </w:r>
      <w:r w:rsidRPr="00000A61">
        <w:t>tdd-UL-DL-</w:t>
      </w:r>
      <w:r>
        <w:t>C</w:t>
      </w:r>
      <w:r w:rsidRPr="00000A61">
        <w:t>onfigurationCommon</w:t>
      </w:r>
      <w:r>
        <w:t xml:space="preserve"> and the pattern specified in </w:t>
      </w:r>
      <w:r w:rsidRPr="00000A61">
        <w:t>tdd-UL-DL-</w:t>
      </w:r>
      <w:r>
        <w:t>C</w:t>
      </w:r>
      <w:r w:rsidRPr="00000A61">
        <w:t>onfigurationCommon</w:t>
      </w:r>
      <w:r>
        <w:t xml:space="preserve">2, with the pattern specified in </w:t>
      </w:r>
      <w:r w:rsidRPr="00000A61">
        <w:t>tdd-UL-DL-</w:t>
      </w:r>
      <w:r>
        <w:t>C</w:t>
      </w:r>
      <w:r w:rsidRPr="00000A61">
        <w:t>onfigurationCommon</w:t>
      </w:r>
      <w:r>
        <w:t xml:space="preserve"> in the front.</w:t>
      </w:r>
    </w:p>
    <w:p w14:paraId="54B37B89" w14:textId="2F2BA30C" w:rsidR="007C2EF6" w:rsidRDefault="007C2EF6" w:rsidP="007C2EF6"/>
    <w:p w14:paraId="381AC1DA" w14:textId="29ED46DD" w:rsidR="007C2EF6" w:rsidRPr="007C2EF6" w:rsidRDefault="007C2EF6" w:rsidP="007C2EF6">
      <w:pPr>
        <w:rPr>
          <w:u w:val="single"/>
        </w:rPr>
      </w:pPr>
      <w:r w:rsidRPr="007C2EF6">
        <w:rPr>
          <w:u w:val="single"/>
        </w:rPr>
        <w:t>On DCI format 2_0 search space monitoring configuration</w:t>
      </w:r>
    </w:p>
    <w:p w14:paraId="7D2B5BF2" w14:textId="31823F0B" w:rsidR="007C2EF6" w:rsidRDefault="007C2EF6" w:rsidP="007C2EF6">
      <w:pPr>
        <w:rPr>
          <w:lang w:eastAsia="en-US"/>
        </w:rPr>
      </w:pPr>
    </w:p>
    <w:p w14:paraId="1A94F433" w14:textId="6F2A537E" w:rsidR="007C2EF6" w:rsidRDefault="007C2EF6" w:rsidP="007C2EF6">
      <w:pPr>
        <w:rPr>
          <w:lang w:val="en-GB" w:eastAsia="en-US"/>
        </w:rPr>
      </w:pPr>
      <w:r w:rsidRPr="003D01D0">
        <w:rPr>
          <w:highlight w:val="cyan"/>
          <w:lang w:val="en-GB" w:eastAsia="en-US"/>
        </w:rPr>
        <w:t>Proposal</w:t>
      </w:r>
      <w:r w:rsidRPr="007A635C">
        <w:rPr>
          <w:lang w:val="en-GB" w:eastAsia="en-US"/>
        </w:rPr>
        <w:t xml:space="preserve">: For the CSS a </w:t>
      </w:r>
      <w:r>
        <w:rPr>
          <w:lang w:val="en-GB" w:eastAsia="en-US"/>
        </w:rPr>
        <w:t>DCI format 2_0</w:t>
      </w:r>
      <w:r w:rsidRPr="007A635C">
        <w:rPr>
          <w:lang w:val="en-GB" w:eastAsia="en-US"/>
        </w:rPr>
        <w:t xml:space="preserve"> is configured to be monitored on, </w:t>
      </w:r>
      <w:r>
        <w:rPr>
          <w:lang w:val="en-GB" w:eastAsia="en-US"/>
        </w:rPr>
        <w:t xml:space="preserve">the UE will only monitor </w:t>
      </w:r>
      <w:r w:rsidRPr="007A635C">
        <w:rPr>
          <w:lang w:val="en-GB" w:eastAsia="en-US"/>
        </w:rPr>
        <w:t xml:space="preserve">the first one or two (from SFI configuration) </w:t>
      </w:r>
      <w:r>
        <w:rPr>
          <w:lang w:val="en-GB" w:eastAsia="en-US"/>
        </w:rPr>
        <w:t>PDCCH</w:t>
      </w:r>
      <w:r w:rsidRPr="007A635C">
        <w:rPr>
          <w:lang w:val="en-GB" w:eastAsia="en-US"/>
        </w:rPr>
        <w:t xml:space="preserve"> candidates of </w:t>
      </w:r>
      <w:r>
        <w:rPr>
          <w:lang w:val="en-GB" w:eastAsia="en-US"/>
        </w:rPr>
        <w:t xml:space="preserve">the </w:t>
      </w:r>
      <w:r w:rsidRPr="007A635C">
        <w:rPr>
          <w:lang w:val="en-GB" w:eastAsia="en-US"/>
        </w:rPr>
        <w:t xml:space="preserve">configured aggregation level </w:t>
      </w:r>
      <w:r>
        <w:rPr>
          <w:lang w:val="en-GB" w:eastAsia="en-US"/>
        </w:rPr>
        <w:t>for</w:t>
      </w:r>
      <w:r w:rsidRPr="007A635C">
        <w:rPr>
          <w:lang w:val="en-GB" w:eastAsia="en-US"/>
        </w:rPr>
        <w:t xml:space="preserve"> </w:t>
      </w:r>
      <w:r>
        <w:rPr>
          <w:lang w:val="en-GB" w:eastAsia="en-US"/>
        </w:rPr>
        <w:t>DCI format 2_0</w:t>
      </w:r>
      <w:r w:rsidRPr="007A635C">
        <w:rPr>
          <w:lang w:val="en-GB" w:eastAsia="en-US"/>
        </w:rPr>
        <w:t xml:space="preserve"> </w:t>
      </w:r>
    </w:p>
    <w:p w14:paraId="45D20C1F" w14:textId="3AB9ADE4" w:rsidR="007C2EF6" w:rsidRDefault="007C2EF6" w:rsidP="007C2EF6">
      <w:pPr>
        <w:rPr>
          <w:lang w:val="en-GB" w:eastAsia="en-US"/>
        </w:rPr>
      </w:pPr>
    </w:p>
    <w:p w14:paraId="0050D20F" w14:textId="216F6F17" w:rsidR="007C2EF6" w:rsidRPr="007C2EF6" w:rsidRDefault="007C2EF6" w:rsidP="007C2EF6">
      <w:pPr>
        <w:rPr>
          <w:u w:val="single"/>
          <w:lang w:val="en-GB" w:eastAsia="en-US"/>
        </w:rPr>
      </w:pPr>
      <w:r w:rsidRPr="007C2EF6">
        <w:rPr>
          <w:u w:val="single"/>
          <w:lang w:val="en-GB" w:eastAsia="en-US"/>
        </w:rPr>
        <w:t>On configured DCI format 2_0 not detected</w:t>
      </w:r>
    </w:p>
    <w:p w14:paraId="6CB96861" w14:textId="71E0DA25" w:rsidR="007C2EF6" w:rsidRDefault="007C2EF6" w:rsidP="007C2EF6">
      <w:pPr>
        <w:rPr>
          <w:lang w:val="en-GB" w:eastAsia="en-US"/>
        </w:rPr>
      </w:pPr>
    </w:p>
    <w:p w14:paraId="574F014A" w14:textId="77777777" w:rsidR="007C2EF6" w:rsidRDefault="007C2EF6" w:rsidP="007C2EF6">
      <w:r w:rsidRPr="001E2E6E">
        <w:rPr>
          <w:highlight w:val="cyan"/>
        </w:rPr>
        <w:t>Proposal</w:t>
      </w:r>
      <w:r>
        <w:t>: If a configured DCI format 2_0 is not received, PDCCH monitoring is performed till the next configured DCI format 2_0 monitoring occasion</w:t>
      </w:r>
    </w:p>
    <w:p w14:paraId="5A1DBE04" w14:textId="21464DC4" w:rsidR="007C2EF6" w:rsidRDefault="007C2EF6" w:rsidP="007C2EF6">
      <w:pPr>
        <w:rPr>
          <w:lang w:eastAsia="en-US"/>
        </w:rPr>
      </w:pPr>
    </w:p>
    <w:p w14:paraId="21222F1F" w14:textId="46388E02" w:rsidR="007C2EF6" w:rsidRPr="007C2EF6" w:rsidRDefault="007C2EF6" w:rsidP="007C2EF6">
      <w:pPr>
        <w:rPr>
          <w:u w:val="single"/>
          <w:lang w:eastAsia="en-US"/>
        </w:rPr>
      </w:pPr>
      <w:bookmarkStart w:id="7" w:name="_GoBack"/>
      <w:r w:rsidRPr="007C2EF6">
        <w:rPr>
          <w:u w:val="single"/>
          <w:lang w:eastAsia="en-US"/>
        </w:rPr>
        <w:t>On cell-specific DL/UL assignment configuration restriction</w:t>
      </w:r>
    </w:p>
    <w:bookmarkEnd w:id="7"/>
    <w:p w14:paraId="02ACB5FA" w14:textId="77777777" w:rsidR="007C2EF6" w:rsidRDefault="007C2EF6" w:rsidP="007C2EF6">
      <w:pPr>
        <w:rPr>
          <w:lang w:eastAsia="en-US"/>
        </w:rPr>
      </w:pPr>
    </w:p>
    <w:p w14:paraId="21B58F17" w14:textId="77777777" w:rsidR="007C2EF6" w:rsidRDefault="007C2EF6" w:rsidP="007C2EF6">
      <w:pPr>
        <w:rPr>
          <w:lang w:val="en-GB" w:eastAsia="en-US"/>
        </w:rPr>
      </w:pPr>
      <w:r w:rsidRPr="00433F48">
        <w:rPr>
          <w:highlight w:val="cyan"/>
          <w:lang w:val="en-GB" w:eastAsia="en-US"/>
        </w:rPr>
        <w:t>Proposal</w:t>
      </w:r>
      <w:r>
        <w:rPr>
          <w:lang w:val="en-GB" w:eastAsia="en-US"/>
        </w:rPr>
        <w:t>: Restrict the combined periodicity for cell-specific DL/UL assignment to such that 20ms is a multiple of the combined periodicity</w:t>
      </w:r>
    </w:p>
    <w:p w14:paraId="3460954C" w14:textId="77777777" w:rsidR="007C2EF6" w:rsidRPr="007C2EF6" w:rsidRDefault="007C2EF6" w:rsidP="007C2EF6">
      <w:pPr>
        <w:rPr>
          <w:lang w:val="en-GB" w:eastAsia="en-US"/>
        </w:rPr>
      </w:pPr>
    </w:p>
    <w:sectPr w:rsidR="007C2EF6" w:rsidRPr="007C2EF6"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DE11E" w14:textId="77777777" w:rsidR="00D61FEB" w:rsidRDefault="00D61FEB" w:rsidP="00EB77D5">
      <w:r>
        <w:separator/>
      </w:r>
    </w:p>
  </w:endnote>
  <w:endnote w:type="continuationSeparator" w:id="0">
    <w:p w14:paraId="544EBAFC" w14:textId="77777777" w:rsidR="00D61FEB" w:rsidRDefault="00D61FEB" w:rsidP="00EB77D5">
      <w:r>
        <w:continuationSeparator/>
      </w:r>
    </w:p>
  </w:endnote>
  <w:endnote w:type="continuationNotice" w:id="1">
    <w:p w14:paraId="19336084" w14:textId="77777777" w:rsidR="00D61FEB" w:rsidRDefault="00D61FEB"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6B4843" w:rsidRDefault="006B4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4843" w:rsidRDefault="006B4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60C2FC21" w:rsidR="006B4843" w:rsidRDefault="006B4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2EF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EF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63482" w14:textId="77777777" w:rsidR="00D61FEB" w:rsidRDefault="00D61FEB" w:rsidP="00EB77D5">
      <w:r>
        <w:separator/>
      </w:r>
    </w:p>
  </w:footnote>
  <w:footnote w:type="continuationSeparator" w:id="0">
    <w:p w14:paraId="7B729A9B" w14:textId="77777777" w:rsidR="00D61FEB" w:rsidRDefault="00D61FEB" w:rsidP="00EB77D5">
      <w:r>
        <w:continuationSeparator/>
      </w:r>
    </w:p>
  </w:footnote>
  <w:footnote w:type="continuationNotice" w:id="1">
    <w:p w14:paraId="4350D4D7" w14:textId="77777777" w:rsidR="00D61FEB" w:rsidRDefault="00D61FEB"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6B4843" w:rsidRDefault="006B4843"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7"/>
  </w:num>
  <w:num w:numId="4">
    <w:abstractNumId w:val="17"/>
  </w:num>
  <w:num w:numId="5">
    <w:abstractNumId w:val="16"/>
  </w:num>
  <w:num w:numId="6">
    <w:abstractNumId w:val="14"/>
  </w:num>
  <w:num w:numId="7">
    <w:abstractNumId w:val="28"/>
  </w:num>
  <w:num w:numId="8">
    <w:abstractNumId w:val="37"/>
  </w:num>
  <w:num w:numId="9">
    <w:abstractNumId w:val="21"/>
  </w:num>
  <w:num w:numId="10">
    <w:abstractNumId w:val="15"/>
  </w:num>
  <w:num w:numId="11">
    <w:abstractNumId w:val="20"/>
  </w:num>
  <w:num w:numId="12">
    <w:abstractNumId w:val="36"/>
  </w:num>
  <w:num w:numId="13">
    <w:abstractNumId w:val="3"/>
  </w:num>
  <w:num w:numId="14">
    <w:abstractNumId w:val="30"/>
  </w:num>
  <w:num w:numId="15">
    <w:abstractNumId w:val="24"/>
  </w:num>
  <w:num w:numId="16">
    <w:abstractNumId w:val="9"/>
  </w:num>
  <w:num w:numId="17">
    <w:abstractNumId w:val="7"/>
  </w:num>
  <w:num w:numId="18">
    <w:abstractNumId w:val="18"/>
  </w:num>
  <w:num w:numId="19">
    <w:abstractNumId w:val="31"/>
  </w:num>
  <w:num w:numId="20">
    <w:abstractNumId w:val="10"/>
  </w:num>
  <w:num w:numId="21">
    <w:abstractNumId w:val="32"/>
  </w:num>
  <w:num w:numId="22">
    <w:abstractNumId w:val="26"/>
  </w:num>
  <w:num w:numId="23">
    <w:abstractNumId w:val="40"/>
  </w:num>
  <w:num w:numId="24">
    <w:abstractNumId w:val="34"/>
  </w:num>
  <w:num w:numId="25">
    <w:abstractNumId w:val="11"/>
  </w:num>
  <w:num w:numId="26">
    <w:abstractNumId w:val="14"/>
  </w:num>
  <w:num w:numId="27">
    <w:abstractNumId w:val="12"/>
  </w:num>
  <w:num w:numId="28">
    <w:abstractNumId w:val="19"/>
  </w:num>
  <w:num w:numId="29">
    <w:abstractNumId w:val="22"/>
  </w:num>
  <w:num w:numId="30">
    <w:abstractNumId w:val="33"/>
  </w:num>
  <w:num w:numId="31">
    <w:abstractNumId w:val="23"/>
  </w:num>
  <w:num w:numId="32">
    <w:abstractNumId w:val="2"/>
  </w:num>
  <w:num w:numId="33">
    <w:abstractNumId w:val="5"/>
  </w:num>
  <w:num w:numId="34">
    <w:abstractNumId w:val="4"/>
  </w:num>
  <w:num w:numId="35">
    <w:abstractNumId w:val="25"/>
  </w:num>
  <w:num w:numId="36">
    <w:abstractNumId w:val="35"/>
  </w:num>
  <w:num w:numId="37">
    <w:abstractNumId w:val="8"/>
  </w:num>
  <w:num w:numId="38">
    <w:abstractNumId w:val="6"/>
  </w:num>
  <w:num w:numId="39">
    <w:abstractNumId w:val="14"/>
  </w:num>
  <w:num w:numId="40">
    <w:abstractNumId w:val="39"/>
  </w:num>
  <w:num w:numId="41">
    <w:abstractNumId w:val="29"/>
  </w:num>
  <w:num w:numId="42">
    <w:abstractNumId w:val="38"/>
  </w:num>
  <w:num w:numId="43">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1F06"/>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1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61C"/>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2E6E"/>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39"/>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8C8"/>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1A19"/>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1D0"/>
    <w:rsid w:val="003D0246"/>
    <w:rsid w:val="003D09DA"/>
    <w:rsid w:val="003D0A1E"/>
    <w:rsid w:val="003D12AF"/>
    <w:rsid w:val="003D132A"/>
    <w:rsid w:val="003D2339"/>
    <w:rsid w:val="003D26AA"/>
    <w:rsid w:val="003D2B9C"/>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3F48"/>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7A7"/>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843"/>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7FD"/>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2EF6"/>
    <w:rsid w:val="007C508D"/>
    <w:rsid w:val="007C51E7"/>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083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19C8"/>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3F1F"/>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3ADA"/>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4FEB"/>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2E76"/>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6AA8"/>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4B4C"/>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2DB1"/>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1FEB"/>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AAC"/>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8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702"/>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PLChar">
    <w:name w:val="PL Char"/>
    <w:link w:val="PL"/>
    <w:rsid w:val="00061F0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49367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HR33RHYHUWRF-4-6481</_dlc_DocId>
    <_dlc_DocIdUrl xmlns="c06861ca-3f08-4d07-bff7-bb15bac121f4">
      <Url>https://projects.qualcomm.com/sites/pentari/_layouts/15/DocIdRedir.aspx?ID=HR33RHYHUWRF-4-6481</Url>
      <Description>HR33RHYHUWRF-4-6481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E1EB4A47-75F1-482C-9BE7-E0F00930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8158</TotalTime>
  <Pages>5</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Jing Sun</cp:lastModifiedBy>
  <cp:revision>95</cp:revision>
  <cp:lastPrinted>2010-10-04T23:31:00Z</cp:lastPrinted>
  <dcterms:created xsi:type="dcterms:W3CDTF">2017-11-28T01:22:00Z</dcterms:created>
  <dcterms:modified xsi:type="dcterms:W3CDTF">2018-02-27T21:21:00Z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261368ff-fcfd-493a-89e7-6e514aad4e0a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